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B6EB" w14:textId="77777777" w:rsidR="005118D9" w:rsidRDefault="005118D9" w:rsidP="00AC60B3">
      <w:pPr>
        <w:jc w:val="both"/>
        <w:rPr>
          <w:rFonts w:cs="Arial"/>
        </w:rPr>
      </w:pPr>
    </w:p>
    <w:p w14:paraId="6F9346E9" w14:textId="50F81E01" w:rsidR="00794EA6" w:rsidRPr="00FB1F3F" w:rsidRDefault="00794EA6" w:rsidP="00FB1F3F">
      <w:pPr>
        <w:pStyle w:val="Odlomakpopisa"/>
        <w:numPr>
          <w:ilvl w:val="0"/>
          <w:numId w:val="12"/>
        </w:numPr>
        <w:jc w:val="center"/>
        <w:rPr>
          <w:rFonts w:cs="Arial"/>
          <w:b/>
          <w:bCs/>
          <w:i/>
          <w:iCs/>
          <w:sz w:val="28"/>
          <w:szCs w:val="28"/>
        </w:rPr>
      </w:pPr>
      <w:r w:rsidRPr="00FB1F3F">
        <w:rPr>
          <w:rFonts w:cs="Arial"/>
          <w:b/>
          <w:bCs/>
          <w:i/>
          <w:iCs/>
          <w:sz w:val="28"/>
          <w:szCs w:val="28"/>
        </w:rPr>
        <w:t>REBALANS PLANA PRIHODA I RASHODA ZA 202</w:t>
      </w:r>
      <w:r w:rsidR="00355B9F" w:rsidRPr="00FB1F3F">
        <w:rPr>
          <w:rFonts w:cs="Arial"/>
          <w:b/>
          <w:bCs/>
          <w:i/>
          <w:iCs/>
          <w:sz w:val="28"/>
          <w:szCs w:val="28"/>
        </w:rPr>
        <w:t>5</w:t>
      </w:r>
      <w:r w:rsidRPr="00FB1F3F">
        <w:rPr>
          <w:rFonts w:cs="Arial"/>
          <w:b/>
          <w:bCs/>
          <w:i/>
          <w:iCs/>
          <w:sz w:val="28"/>
          <w:szCs w:val="28"/>
        </w:rPr>
        <w:t>.</w:t>
      </w:r>
      <w:r w:rsidR="00101A39" w:rsidRPr="00FB1F3F">
        <w:rPr>
          <w:rFonts w:cs="Arial"/>
          <w:b/>
          <w:bCs/>
          <w:i/>
          <w:iCs/>
          <w:sz w:val="28"/>
          <w:szCs w:val="28"/>
        </w:rPr>
        <w:t xml:space="preserve"> GODINU</w:t>
      </w:r>
    </w:p>
    <w:p w14:paraId="3F12D813" w14:textId="77777777" w:rsidR="00FB1F3F" w:rsidRPr="00FB1F3F" w:rsidRDefault="00FB1F3F" w:rsidP="00FB1F3F">
      <w:pPr>
        <w:pStyle w:val="Odlomakpopisa"/>
        <w:ind w:left="1080"/>
        <w:rPr>
          <w:rFonts w:cs="Arial"/>
          <w:b/>
          <w:bCs/>
          <w:i/>
          <w:iCs/>
          <w:sz w:val="28"/>
          <w:szCs w:val="28"/>
        </w:rPr>
      </w:pPr>
    </w:p>
    <w:p w14:paraId="21372F23" w14:textId="77777777" w:rsidR="00357733" w:rsidRPr="00357733" w:rsidRDefault="00357733" w:rsidP="00357733">
      <w:pPr>
        <w:rPr>
          <w:rFonts w:cs="Arial"/>
        </w:rPr>
      </w:pPr>
      <w:r w:rsidRPr="00357733">
        <w:rPr>
          <w:rFonts w:cs="Arial"/>
        </w:rPr>
        <w:t>U 2025. godini prvotno je bilo planirano ostvarenje prihoda i rashoda u iznosu od 1.595.000,00 eura.</w:t>
      </w:r>
    </w:p>
    <w:p w14:paraId="5D181167" w14:textId="77777777" w:rsidR="00357733" w:rsidRPr="00357733" w:rsidRDefault="00357733" w:rsidP="00357733">
      <w:pPr>
        <w:rPr>
          <w:rFonts w:cs="Arial"/>
        </w:rPr>
      </w:pPr>
      <w:r w:rsidRPr="00357733">
        <w:rPr>
          <w:rFonts w:cs="Arial"/>
        </w:rPr>
        <w:t>I. rebalansom planirani prihodi mijenjaju se na 1.605.000,00 eura, a rashodi na 1.585.000,00 eura.</w:t>
      </w:r>
    </w:p>
    <w:p w14:paraId="54C94993" w14:textId="34EA3987" w:rsidR="00355B9F" w:rsidRDefault="00357733" w:rsidP="00357733">
      <w:pPr>
        <w:jc w:val="both"/>
        <w:rPr>
          <w:rFonts w:cs="Arial"/>
          <w:b/>
          <w:bCs/>
          <w:i/>
          <w:iCs/>
        </w:rPr>
      </w:pPr>
      <w:r w:rsidRPr="00357733">
        <w:rPr>
          <w:rFonts w:cs="Arial"/>
        </w:rPr>
        <w:t>Prihodi se povećavaju za 1 %, dok se rashodi smanjuju za 1 %, čime se očekuje višak prihoda nad rashodima u iznosu od 20.000,00 eura.</w:t>
      </w:r>
    </w:p>
    <w:p w14:paraId="5A1063D9" w14:textId="77777777" w:rsidR="00357733" w:rsidRDefault="00357733" w:rsidP="00AC60B3">
      <w:pPr>
        <w:jc w:val="both"/>
        <w:rPr>
          <w:rFonts w:cs="Arial"/>
          <w:b/>
          <w:bCs/>
          <w:i/>
          <w:iCs/>
        </w:rPr>
      </w:pPr>
    </w:p>
    <w:p w14:paraId="09407565" w14:textId="306F2DD9" w:rsidR="009B43B2" w:rsidRPr="00357733" w:rsidRDefault="002435D1" w:rsidP="00357733">
      <w:pPr>
        <w:jc w:val="both"/>
        <w:rPr>
          <w:rFonts w:cs="Arial"/>
          <w:b/>
          <w:bCs/>
          <w:i/>
          <w:iCs/>
        </w:rPr>
      </w:pPr>
      <w:r w:rsidRPr="00357733">
        <w:rPr>
          <w:rFonts w:cs="Arial"/>
          <w:b/>
          <w:bCs/>
          <w:i/>
          <w:iCs/>
        </w:rPr>
        <w:t>PRIHODI</w:t>
      </w:r>
    </w:p>
    <w:p w14:paraId="42778D49" w14:textId="163F0D38" w:rsidR="001A15D8" w:rsidRDefault="00357733" w:rsidP="00AC60B3">
      <w:pPr>
        <w:jc w:val="both"/>
      </w:pPr>
      <w:r w:rsidRPr="00357733">
        <w:rPr>
          <w:noProof/>
        </w:rPr>
        <w:drawing>
          <wp:inline distT="0" distB="0" distL="0" distR="0" wp14:anchorId="1C997D93" wp14:editId="068E689C">
            <wp:extent cx="5943600" cy="3270250"/>
            <wp:effectExtent l="0" t="0" r="0" b="6350"/>
            <wp:docPr id="1265464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92EF2" w14:textId="77777777" w:rsidR="00293AAB" w:rsidRDefault="00293AAB" w:rsidP="00357733">
      <w:pPr>
        <w:pStyle w:val="Odlomakpopisa"/>
        <w:ind w:left="0"/>
        <w:jc w:val="both"/>
      </w:pPr>
    </w:p>
    <w:p w14:paraId="18A2C256" w14:textId="77777777" w:rsidR="00293AAB" w:rsidRDefault="00293AAB" w:rsidP="00357733">
      <w:pPr>
        <w:pStyle w:val="Odlomakpopisa"/>
        <w:ind w:left="0"/>
        <w:jc w:val="both"/>
      </w:pPr>
    </w:p>
    <w:p w14:paraId="7EE75292" w14:textId="77777777" w:rsidR="00293AAB" w:rsidRDefault="00293AAB" w:rsidP="00357733">
      <w:pPr>
        <w:pStyle w:val="Odlomakpopisa"/>
        <w:ind w:left="0"/>
        <w:jc w:val="both"/>
      </w:pPr>
    </w:p>
    <w:p w14:paraId="3F7C023C" w14:textId="77777777" w:rsidR="00293AAB" w:rsidRDefault="00293AAB" w:rsidP="00357733">
      <w:pPr>
        <w:pStyle w:val="Odlomakpopisa"/>
        <w:ind w:left="0"/>
        <w:jc w:val="both"/>
      </w:pPr>
    </w:p>
    <w:p w14:paraId="154E7AF3" w14:textId="77777777" w:rsidR="00293AAB" w:rsidRDefault="00293AAB" w:rsidP="00357733">
      <w:pPr>
        <w:pStyle w:val="Odlomakpopisa"/>
        <w:ind w:left="0"/>
        <w:jc w:val="both"/>
      </w:pPr>
    </w:p>
    <w:p w14:paraId="76837658" w14:textId="77777777" w:rsidR="00293AAB" w:rsidRDefault="00293AAB" w:rsidP="00357733">
      <w:pPr>
        <w:pStyle w:val="Odlomakpopisa"/>
        <w:ind w:left="0"/>
        <w:jc w:val="both"/>
      </w:pPr>
    </w:p>
    <w:p w14:paraId="79CD9998" w14:textId="77777777" w:rsidR="00293AAB" w:rsidRDefault="00293AAB" w:rsidP="00357733">
      <w:pPr>
        <w:pStyle w:val="Odlomakpopisa"/>
        <w:ind w:left="0"/>
        <w:jc w:val="both"/>
      </w:pPr>
    </w:p>
    <w:p w14:paraId="580BA3F2" w14:textId="77777777" w:rsidR="00293AAB" w:rsidRDefault="00293AAB" w:rsidP="00357733">
      <w:pPr>
        <w:pStyle w:val="Odlomakpopisa"/>
        <w:ind w:left="0"/>
        <w:jc w:val="both"/>
      </w:pPr>
    </w:p>
    <w:p w14:paraId="10E1B134" w14:textId="5F8A4F28" w:rsidR="00357733" w:rsidRDefault="00357733" w:rsidP="00357733">
      <w:pPr>
        <w:pStyle w:val="Odlomakpopisa"/>
        <w:ind w:left="0"/>
        <w:jc w:val="both"/>
      </w:pPr>
      <w:r>
        <w:t>Rebalansom se mijenjaju sljedeće pozicije prihoda:</w:t>
      </w:r>
    </w:p>
    <w:p w14:paraId="3D57CF43" w14:textId="77777777" w:rsidR="00357733" w:rsidRDefault="00357733" w:rsidP="00357733">
      <w:pPr>
        <w:pStyle w:val="Odlomakpopisa"/>
        <w:ind w:left="0"/>
        <w:jc w:val="both"/>
      </w:pPr>
    </w:p>
    <w:p w14:paraId="6CB72018" w14:textId="4CC4CCDC" w:rsidR="00357733" w:rsidRPr="00357733" w:rsidRDefault="00357733" w:rsidP="00FB1F3F">
      <w:pPr>
        <w:pStyle w:val="Odlomakpopisa"/>
        <w:numPr>
          <w:ilvl w:val="0"/>
          <w:numId w:val="11"/>
        </w:numPr>
        <w:jc w:val="both"/>
        <w:rPr>
          <w:b/>
          <w:bCs/>
        </w:rPr>
      </w:pPr>
      <w:r w:rsidRPr="00357733">
        <w:rPr>
          <w:b/>
          <w:bCs/>
        </w:rPr>
        <w:t xml:space="preserve"> </w:t>
      </w:r>
      <w:r w:rsidR="00FB1F3F">
        <w:rPr>
          <w:b/>
          <w:bCs/>
        </w:rPr>
        <w:t xml:space="preserve"> </w:t>
      </w:r>
      <w:r w:rsidRPr="00357733">
        <w:rPr>
          <w:b/>
          <w:bCs/>
        </w:rPr>
        <w:t>Prihodi od usluga službe</w:t>
      </w:r>
    </w:p>
    <w:p w14:paraId="485721FE" w14:textId="77777777" w:rsidR="00357733" w:rsidRDefault="00357733" w:rsidP="00357733">
      <w:pPr>
        <w:pStyle w:val="Odlomakpopisa"/>
        <w:ind w:left="0"/>
        <w:jc w:val="both"/>
      </w:pPr>
    </w:p>
    <w:p w14:paraId="51BFEF0E" w14:textId="77777777" w:rsidR="00357733" w:rsidRDefault="00357733" w:rsidP="00357733">
      <w:pPr>
        <w:pStyle w:val="Odlomakpopisa"/>
        <w:ind w:left="0"/>
        <w:jc w:val="both"/>
      </w:pPr>
      <w:r>
        <w:t>Planirani su u iznosu od 344.000,00 eura, u skladu s povjerenim poslovima Grada Krka za 2024. godinu.</w:t>
      </w:r>
    </w:p>
    <w:p w14:paraId="59A7BBED" w14:textId="77777777" w:rsidR="00FB1F3F" w:rsidRDefault="00FB1F3F" w:rsidP="00357733">
      <w:pPr>
        <w:pStyle w:val="Odlomakpopisa"/>
        <w:ind w:left="0"/>
        <w:jc w:val="both"/>
        <w:sectPr w:rsidR="00FB1F3F" w:rsidSect="00FB1F3F">
          <w:headerReference w:type="default" r:id="rId8"/>
          <w:footerReference w:type="default" r:id="rId9"/>
          <w:pgSz w:w="12240" w:h="15840"/>
          <w:pgMar w:top="1440" w:right="1440" w:bottom="1440" w:left="1440" w:header="708" w:footer="204" w:gutter="0"/>
          <w:cols w:space="708"/>
          <w:docGrid w:linePitch="360"/>
        </w:sectPr>
      </w:pPr>
    </w:p>
    <w:p w14:paraId="0E88F52B" w14:textId="77777777" w:rsidR="00FB1F3F" w:rsidRDefault="00FB1F3F" w:rsidP="00357733">
      <w:pPr>
        <w:pStyle w:val="Odlomakpopisa"/>
        <w:ind w:left="0"/>
        <w:jc w:val="both"/>
      </w:pPr>
    </w:p>
    <w:p w14:paraId="4B42C780" w14:textId="1BBDB14B" w:rsidR="00357733" w:rsidRDefault="00357733" w:rsidP="00357733">
      <w:pPr>
        <w:pStyle w:val="Odlomakpopisa"/>
        <w:ind w:left="0"/>
        <w:jc w:val="both"/>
      </w:pPr>
      <w:r>
        <w:t xml:space="preserve">Zbog povećanja opsega poslova na pozicijama </w:t>
      </w:r>
      <w:r w:rsidRPr="00FB1F3F">
        <w:rPr>
          <w:i/>
          <w:iCs/>
        </w:rPr>
        <w:t>Čišćenje i održavanje javnih površina</w:t>
      </w:r>
      <w:r>
        <w:t xml:space="preserve"> i </w:t>
      </w:r>
      <w:r w:rsidRPr="00FB1F3F">
        <w:rPr>
          <w:i/>
          <w:iCs/>
        </w:rPr>
        <w:t>Održavanje zelenih površina</w:t>
      </w:r>
      <w:r>
        <w:t>, ukupni prihodi ove skupine povećavaju se na 376.000,00 eura, i to kako slijedi:</w:t>
      </w:r>
    </w:p>
    <w:p w14:paraId="07C3CFE8" w14:textId="77777777" w:rsidR="00FB1F3F" w:rsidRDefault="00FB1F3F" w:rsidP="00357733">
      <w:pPr>
        <w:pStyle w:val="Odlomakpopisa"/>
        <w:ind w:left="0"/>
        <w:jc w:val="both"/>
        <w:sectPr w:rsidR="00FB1F3F" w:rsidSect="00FB1F3F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08" w:footer="0" w:gutter="0"/>
          <w:cols w:space="708"/>
          <w:docGrid w:linePitch="360"/>
        </w:sectPr>
      </w:pPr>
    </w:p>
    <w:p w14:paraId="5BEC440D" w14:textId="77777777" w:rsidR="00357733" w:rsidRDefault="00357733" w:rsidP="00357733">
      <w:pPr>
        <w:pStyle w:val="Odlomakpopisa"/>
        <w:ind w:left="0"/>
        <w:jc w:val="both"/>
      </w:pPr>
    </w:p>
    <w:p w14:paraId="11FB9CAA" w14:textId="77777777" w:rsidR="00357733" w:rsidRDefault="00357733" w:rsidP="00357733">
      <w:pPr>
        <w:pStyle w:val="Odlomakpopisa"/>
        <w:numPr>
          <w:ilvl w:val="0"/>
          <w:numId w:val="9"/>
        </w:numPr>
        <w:jc w:val="both"/>
      </w:pPr>
      <w:r>
        <w:t>čišćenje i održavanje javnih površina – 160.000,00 eura</w:t>
      </w:r>
    </w:p>
    <w:p w14:paraId="66CBEAEF" w14:textId="77777777" w:rsidR="00357733" w:rsidRDefault="00357733" w:rsidP="00357733">
      <w:pPr>
        <w:pStyle w:val="Odlomakpopisa"/>
        <w:numPr>
          <w:ilvl w:val="0"/>
          <w:numId w:val="9"/>
        </w:numPr>
        <w:jc w:val="both"/>
      </w:pPr>
      <w:r>
        <w:t>čišćenje i održavanje plaža – 41.000,00 eura</w:t>
      </w:r>
    </w:p>
    <w:p w14:paraId="0EFDAFA3" w14:textId="77777777" w:rsidR="00357733" w:rsidRDefault="00357733" w:rsidP="00357733">
      <w:pPr>
        <w:pStyle w:val="Odlomakpopisa"/>
        <w:numPr>
          <w:ilvl w:val="0"/>
          <w:numId w:val="9"/>
        </w:numPr>
        <w:jc w:val="both"/>
      </w:pPr>
      <w:r>
        <w:t>održavanje zelenih površina – 139.000,00 eura</w:t>
      </w:r>
    </w:p>
    <w:p w14:paraId="1C0D103B" w14:textId="77777777" w:rsidR="00357733" w:rsidRDefault="00357733" w:rsidP="00357733">
      <w:pPr>
        <w:pStyle w:val="Odlomakpopisa"/>
        <w:numPr>
          <w:ilvl w:val="0"/>
          <w:numId w:val="9"/>
        </w:numPr>
        <w:jc w:val="both"/>
      </w:pPr>
      <w:r>
        <w:t>održavanje antenskog sustava kabelske televizije – 22.000,00 eura</w:t>
      </w:r>
    </w:p>
    <w:p w14:paraId="43D4BD2C" w14:textId="77777777" w:rsidR="00357733" w:rsidRDefault="00357733" w:rsidP="00357733">
      <w:pPr>
        <w:pStyle w:val="Odlomakpopisa"/>
        <w:numPr>
          <w:ilvl w:val="0"/>
          <w:numId w:val="9"/>
        </w:numPr>
        <w:jc w:val="both"/>
      </w:pPr>
      <w:r>
        <w:t>održavanje sportske dvorane – 14.000,00 eura</w:t>
      </w:r>
    </w:p>
    <w:p w14:paraId="0D68F11A" w14:textId="77777777" w:rsidR="00FB1F3F" w:rsidRDefault="00FB1F3F" w:rsidP="00FB1F3F">
      <w:pPr>
        <w:pStyle w:val="Odlomakpopisa"/>
      </w:pPr>
    </w:p>
    <w:p w14:paraId="298B1734" w14:textId="5D1F2EBF" w:rsidR="00357733" w:rsidRPr="00357733" w:rsidRDefault="00357733" w:rsidP="00FB1F3F">
      <w:pPr>
        <w:pStyle w:val="Odlomakpopisa"/>
        <w:numPr>
          <w:ilvl w:val="0"/>
          <w:numId w:val="11"/>
        </w:numPr>
        <w:jc w:val="both"/>
        <w:rPr>
          <w:b/>
          <w:bCs/>
        </w:rPr>
      </w:pPr>
      <w:r w:rsidRPr="00357733">
        <w:rPr>
          <w:b/>
          <w:bCs/>
        </w:rPr>
        <w:t xml:space="preserve"> Prihodi od parkiranja</w:t>
      </w:r>
    </w:p>
    <w:p w14:paraId="5805F623" w14:textId="77777777" w:rsidR="00357733" w:rsidRDefault="00357733" w:rsidP="00357733">
      <w:pPr>
        <w:pStyle w:val="Odlomakpopisa"/>
        <w:ind w:left="0"/>
        <w:jc w:val="both"/>
      </w:pPr>
    </w:p>
    <w:p w14:paraId="77C08B28" w14:textId="77777777" w:rsidR="00357733" w:rsidRDefault="00357733" w:rsidP="00357733">
      <w:pPr>
        <w:pStyle w:val="Odlomakpopisa"/>
        <w:ind w:left="0"/>
        <w:jc w:val="both"/>
      </w:pPr>
      <w:r>
        <w:t>Planirani iznos od 735.000,00 eura rebalansom se povećava za 20.000,00 eura, na ukupno 755.000,00 eura.</w:t>
      </w:r>
    </w:p>
    <w:p w14:paraId="30A773B2" w14:textId="77777777" w:rsidR="00357733" w:rsidRDefault="00357733" w:rsidP="00357733">
      <w:pPr>
        <w:pStyle w:val="Odlomakpopisa"/>
        <w:ind w:left="0"/>
        <w:jc w:val="both"/>
      </w:pPr>
    </w:p>
    <w:p w14:paraId="230E3860" w14:textId="098FC575" w:rsidR="00357733" w:rsidRPr="00357733" w:rsidRDefault="00357733" w:rsidP="00FB1F3F">
      <w:pPr>
        <w:pStyle w:val="Odlomakpopisa"/>
        <w:numPr>
          <w:ilvl w:val="0"/>
          <w:numId w:val="11"/>
        </w:numPr>
        <w:jc w:val="both"/>
        <w:rPr>
          <w:b/>
          <w:bCs/>
        </w:rPr>
      </w:pPr>
      <w:r w:rsidRPr="00357733">
        <w:rPr>
          <w:b/>
          <w:bCs/>
        </w:rPr>
        <w:t>Prihodi tržnice</w:t>
      </w:r>
    </w:p>
    <w:p w14:paraId="73958401" w14:textId="77777777" w:rsidR="00357733" w:rsidRDefault="00357733" w:rsidP="00357733">
      <w:pPr>
        <w:pStyle w:val="Odlomakpopisa"/>
        <w:ind w:left="0"/>
        <w:jc w:val="both"/>
      </w:pPr>
    </w:p>
    <w:p w14:paraId="49F5FEFE" w14:textId="77777777" w:rsidR="00357733" w:rsidRDefault="00357733" w:rsidP="00357733">
      <w:pPr>
        <w:pStyle w:val="Odlomakpopisa"/>
        <w:ind w:left="0"/>
        <w:jc w:val="both"/>
      </w:pPr>
      <w:r>
        <w:t>Planirani prihodi u iznosu od 60.000,00 eura izgledno će se smanjiti zbog pokretanja stečajnog postupka nad zakupnikom koji je ovršen.</w:t>
      </w:r>
    </w:p>
    <w:p w14:paraId="7D442E03" w14:textId="77777777" w:rsidR="00357733" w:rsidRDefault="00357733" w:rsidP="00357733">
      <w:pPr>
        <w:pStyle w:val="Odlomakpopisa"/>
        <w:ind w:left="0"/>
        <w:jc w:val="both"/>
      </w:pPr>
    </w:p>
    <w:p w14:paraId="3BA61DD4" w14:textId="4725EED7" w:rsidR="00357733" w:rsidRPr="00357733" w:rsidRDefault="00357733" w:rsidP="00FB1F3F">
      <w:pPr>
        <w:pStyle w:val="Odlomakpopisa"/>
        <w:numPr>
          <w:ilvl w:val="0"/>
          <w:numId w:val="11"/>
        </w:numPr>
        <w:jc w:val="both"/>
        <w:rPr>
          <w:b/>
          <w:bCs/>
        </w:rPr>
      </w:pPr>
      <w:r w:rsidRPr="00357733">
        <w:rPr>
          <w:b/>
          <w:bCs/>
        </w:rPr>
        <w:t xml:space="preserve"> Ostali prihodi</w:t>
      </w:r>
    </w:p>
    <w:p w14:paraId="6ED327DA" w14:textId="77777777" w:rsidR="00357733" w:rsidRDefault="00357733" w:rsidP="00357733">
      <w:pPr>
        <w:pStyle w:val="Odlomakpopisa"/>
        <w:ind w:left="0"/>
        <w:jc w:val="both"/>
      </w:pPr>
    </w:p>
    <w:p w14:paraId="35ACCE3B" w14:textId="77777777" w:rsidR="00357733" w:rsidRDefault="00357733" w:rsidP="00357733">
      <w:pPr>
        <w:pStyle w:val="Odlomakpopisa"/>
        <w:ind w:left="0"/>
        <w:jc w:val="both"/>
      </w:pPr>
      <w:r>
        <w:t>Planirani iznos od 195.000,00 eura smanjuje se na 153.000,00 eura.</w:t>
      </w:r>
    </w:p>
    <w:p w14:paraId="417086F9" w14:textId="77777777" w:rsidR="00357733" w:rsidRDefault="00357733" w:rsidP="00357733">
      <w:pPr>
        <w:pStyle w:val="Odlomakpopisa"/>
        <w:ind w:left="0"/>
        <w:jc w:val="both"/>
      </w:pPr>
      <w:r>
        <w:t>Prihodi od potpora, koji su prvotno planirani u iznosu od 135.000,00 eura, smanjuju se na 83.000,00 eura.</w:t>
      </w:r>
    </w:p>
    <w:p w14:paraId="5D2DC945" w14:textId="77777777" w:rsidR="00357733" w:rsidRDefault="00357733" w:rsidP="00357733">
      <w:pPr>
        <w:pStyle w:val="Odlomakpopisa"/>
        <w:ind w:left="0"/>
        <w:jc w:val="both"/>
      </w:pPr>
      <w:r>
        <w:t>Prihodi od usluga, koji sadrže prihode od zakupa pultova, reklama, održavanja lučkog područja te usluge plažnih tuševa, povećavaju se za 5.000,00 eura, na ukupno 45.000,00 eura.</w:t>
      </w:r>
    </w:p>
    <w:p w14:paraId="39E9C66D" w14:textId="54DC8B5F" w:rsidR="00AC60B3" w:rsidRPr="00A2797F" w:rsidRDefault="00357733" w:rsidP="00357733">
      <w:pPr>
        <w:pStyle w:val="Odlomakpopisa"/>
        <w:ind w:left="0"/>
        <w:jc w:val="both"/>
      </w:pPr>
      <w:r>
        <w:t>Ostali prihodi povećavaju se za dodatnih 5.000,00 eura zbog potpora Vlade RH za troškove električne energije, na iznos od 25.000,00 eura.</w:t>
      </w:r>
    </w:p>
    <w:p w14:paraId="052FA8F8" w14:textId="77777777" w:rsidR="00B23758" w:rsidRDefault="00B23758" w:rsidP="00AC60B3">
      <w:pPr>
        <w:pStyle w:val="Odlomakpopisa"/>
        <w:ind w:left="2007"/>
        <w:jc w:val="both"/>
      </w:pPr>
    </w:p>
    <w:p w14:paraId="2026B80B" w14:textId="77777777" w:rsidR="00AC60B3" w:rsidRDefault="00AC60B3" w:rsidP="00AC60B3">
      <w:pPr>
        <w:pStyle w:val="Odlomakpopisa"/>
        <w:ind w:left="1287"/>
        <w:jc w:val="both"/>
      </w:pPr>
    </w:p>
    <w:p w14:paraId="6FB8220C" w14:textId="77777777" w:rsidR="00293AAB" w:rsidRDefault="00293AAB" w:rsidP="00AC60B3">
      <w:pPr>
        <w:pStyle w:val="Odlomakpopisa"/>
        <w:ind w:left="1287"/>
        <w:jc w:val="both"/>
      </w:pPr>
    </w:p>
    <w:p w14:paraId="2909CD8A" w14:textId="77777777" w:rsidR="00293AAB" w:rsidRDefault="00293AAB" w:rsidP="00AC60B3">
      <w:pPr>
        <w:pStyle w:val="Odlomakpopisa"/>
        <w:ind w:left="1287"/>
        <w:jc w:val="both"/>
      </w:pPr>
    </w:p>
    <w:p w14:paraId="5DEA0D58" w14:textId="6D600212" w:rsidR="00AC60B3" w:rsidRPr="002D4F67" w:rsidRDefault="00AC60B3" w:rsidP="00AC60B3">
      <w:pPr>
        <w:jc w:val="both"/>
        <w:rPr>
          <w:rFonts w:cs="Arial"/>
          <w:b/>
          <w:bCs/>
          <w:i/>
          <w:iCs/>
        </w:rPr>
      </w:pPr>
      <w:r w:rsidRPr="002D4F67">
        <w:rPr>
          <w:rFonts w:cs="Arial"/>
          <w:b/>
          <w:bCs/>
          <w:i/>
          <w:iCs/>
        </w:rPr>
        <w:lastRenderedPageBreak/>
        <w:t>RASHODI</w:t>
      </w:r>
    </w:p>
    <w:p w14:paraId="49C9113D" w14:textId="77777777" w:rsidR="002D4F67" w:rsidRPr="00857A67" w:rsidRDefault="002D4F67" w:rsidP="00AC60B3">
      <w:pPr>
        <w:jc w:val="both"/>
        <w:rPr>
          <w:rFonts w:cs="Arial"/>
          <w:b/>
          <w:bCs/>
        </w:rPr>
      </w:pPr>
    </w:p>
    <w:p w14:paraId="69307BE4" w14:textId="77272C5B" w:rsidR="00981B95" w:rsidRDefault="00357733" w:rsidP="00AC60B3">
      <w:r w:rsidRPr="00357733">
        <w:rPr>
          <w:noProof/>
        </w:rPr>
        <w:drawing>
          <wp:inline distT="0" distB="0" distL="0" distR="0" wp14:anchorId="544E6849" wp14:editId="0A412A37">
            <wp:extent cx="5943600" cy="3824605"/>
            <wp:effectExtent l="0" t="0" r="0" b="4445"/>
            <wp:docPr id="14952328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B77A8" w14:textId="77777777" w:rsidR="001A15D8" w:rsidRDefault="001A15D8" w:rsidP="00AC60B3"/>
    <w:p w14:paraId="6D086943" w14:textId="25A5E06D" w:rsidR="001A15D8" w:rsidRDefault="00357733" w:rsidP="00FB1F3F">
      <w:pPr>
        <w:ind w:firstLine="720"/>
        <w:jc w:val="both"/>
      </w:pPr>
      <w:r w:rsidRPr="00357733">
        <w:t>Ukupni rashodi rebalansom se smanjuju za 10.000,00 eura (1 %) u odnosu na prvotni plan te iznose 1.585.000,00 eura.</w:t>
      </w:r>
    </w:p>
    <w:p w14:paraId="76FD7943" w14:textId="77777777" w:rsidR="00293AAB" w:rsidRDefault="00293AAB" w:rsidP="00FB1F3F">
      <w:pPr>
        <w:ind w:firstLine="720"/>
        <w:jc w:val="both"/>
      </w:pPr>
    </w:p>
    <w:p w14:paraId="61520FC0" w14:textId="0C3CE37F" w:rsidR="00AC60B3" w:rsidRDefault="00FB235B" w:rsidP="00862519">
      <w:pPr>
        <w:pStyle w:val="Odlomakpopisa"/>
        <w:numPr>
          <w:ilvl w:val="0"/>
          <w:numId w:val="7"/>
        </w:numPr>
        <w:rPr>
          <w:b/>
          <w:bCs/>
        </w:rPr>
      </w:pPr>
      <w:r w:rsidRPr="00E5504E">
        <w:rPr>
          <w:b/>
          <w:bCs/>
        </w:rPr>
        <w:t>Materijalni rashodi</w:t>
      </w:r>
    </w:p>
    <w:p w14:paraId="781C1901" w14:textId="1DD48EEF" w:rsidR="00293AAB" w:rsidRDefault="00357733" w:rsidP="00293AAB">
      <w:pPr>
        <w:jc w:val="both"/>
      </w:pPr>
      <w:r>
        <w:t>Na poziciji materijalnih rashoda ne predviđa se povećanje ukupnog iznosa, koji ostaje 120.000,00 eura</w:t>
      </w:r>
      <w:r w:rsidR="00293AAB">
        <w:t xml:space="preserve"> bez povećanja ukupnog iznosa sa promjenama unutar pozicija.</w:t>
      </w:r>
    </w:p>
    <w:p w14:paraId="71F4A12C" w14:textId="3C80BF64" w:rsidR="00357733" w:rsidRDefault="00357733" w:rsidP="00FB1F3F">
      <w:pPr>
        <w:jc w:val="both"/>
      </w:pPr>
      <w:r>
        <w:t xml:space="preserve">Promjene se odnose na preraspodjelu </w:t>
      </w:r>
      <w:r w:rsidR="00293AAB">
        <w:t xml:space="preserve">troškova </w:t>
      </w:r>
      <w:r>
        <w:t>unutar pozicija:</w:t>
      </w:r>
    </w:p>
    <w:p w14:paraId="3D2EAAB2" w14:textId="77777777" w:rsidR="00357733" w:rsidRPr="00357733" w:rsidRDefault="00357733" w:rsidP="00FB1F3F">
      <w:pPr>
        <w:pStyle w:val="Odlomakpopisa"/>
        <w:numPr>
          <w:ilvl w:val="1"/>
          <w:numId w:val="7"/>
        </w:numPr>
        <w:jc w:val="both"/>
        <w:rPr>
          <w:i/>
          <w:iCs/>
        </w:rPr>
      </w:pPr>
      <w:r w:rsidRPr="00357733">
        <w:rPr>
          <w:i/>
          <w:iCs/>
        </w:rPr>
        <w:t>troškovi sirovina i materijala</w:t>
      </w:r>
    </w:p>
    <w:p w14:paraId="5D48AFCC" w14:textId="107D97A1" w:rsidR="00357733" w:rsidRPr="00357733" w:rsidRDefault="00357733" w:rsidP="00FB1F3F">
      <w:pPr>
        <w:pStyle w:val="Odlomakpopisa"/>
        <w:numPr>
          <w:ilvl w:val="1"/>
          <w:numId w:val="7"/>
        </w:numPr>
        <w:jc w:val="both"/>
        <w:rPr>
          <w:i/>
          <w:iCs/>
        </w:rPr>
      </w:pPr>
      <w:r w:rsidRPr="00357733">
        <w:rPr>
          <w:i/>
          <w:iCs/>
        </w:rPr>
        <w:t>materijalni troškovi održavanja</w:t>
      </w:r>
    </w:p>
    <w:p w14:paraId="357A7C0D" w14:textId="77777777" w:rsidR="00293AAB" w:rsidRDefault="00293AAB" w:rsidP="00FB1F3F">
      <w:pPr>
        <w:jc w:val="both"/>
      </w:pPr>
    </w:p>
    <w:p w14:paraId="11BE0FC3" w14:textId="77777777" w:rsidR="00293AAB" w:rsidRDefault="00293AAB" w:rsidP="00FB1F3F">
      <w:pPr>
        <w:jc w:val="both"/>
      </w:pPr>
    </w:p>
    <w:p w14:paraId="0A684B28" w14:textId="77777777" w:rsidR="00293AAB" w:rsidRDefault="00293AAB" w:rsidP="00FB1F3F">
      <w:pPr>
        <w:jc w:val="both"/>
      </w:pPr>
    </w:p>
    <w:p w14:paraId="5A5A0ACF" w14:textId="77777777" w:rsidR="00293AAB" w:rsidRDefault="00293AAB" w:rsidP="00FB1F3F">
      <w:pPr>
        <w:jc w:val="both"/>
      </w:pPr>
    </w:p>
    <w:p w14:paraId="56A87483" w14:textId="3A0AE031" w:rsidR="00F53454" w:rsidRPr="00E5504E" w:rsidRDefault="002423AB" w:rsidP="00862519">
      <w:pPr>
        <w:pStyle w:val="Odlomakpopisa"/>
        <w:numPr>
          <w:ilvl w:val="0"/>
          <w:numId w:val="7"/>
        </w:numPr>
        <w:rPr>
          <w:b/>
          <w:bCs/>
        </w:rPr>
      </w:pPr>
      <w:r w:rsidRPr="00E5504E">
        <w:rPr>
          <w:b/>
          <w:bCs/>
        </w:rPr>
        <w:lastRenderedPageBreak/>
        <w:t>Troškovi</w:t>
      </w:r>
      <w:r w:rsidR="00F53454" w:rsidRPr="00E5504E">
        <w:rPr>
          <w:b/>
          <w:bCs/>
        </w:rPr>
        <w:t xml:space="preserve"> usluga</w:t>
      </w:r>
    </w:p>
    <w:p w14:paraId="490BEE4E" w14:textId="77777777" w:rsidR="00357733" w:rsidRDefault="00357733" w:rsidP="00FB1F3F">
      <w:pPr>
        <w:jc w:val="both"/>
      </w:pPr>
      <w:r w:rsidRPr="00357733">
        <w:t>Rebalansom se planiraju sljedeće izmjene:</w:t>
      </w:r>
    </w:p>
    <w:p w14:paraId="7691C00D" w14:textId="7A0B062B" w:rsidR="00357733" w:rsidRDefault="005F039B" w:rsidP="00FB1F3F">
      <w:pPr>
        <w:pStyle w:val="Odlomakpopisa"/>
        <w:numPr>
          <w:ilvl w:val="1"/>
          <w:numId w:val="7"/>
        </w:numPr>
        <w:jc w:val="both"/>
      </w:pPr>
      <w:r w:rsidRPr="00357733">
        <w:rPr>
          <w:i/>
          <w:iCs/>
        </w:rPr>
        <w:t>Troškovi vanjski usluga</w:t>
      </w:r>
      <w:r>
        <w:t xml:space="preserve"> </w:t>
      </w:r>
      <w:r w:rsidR="00357733" w:rsidRPr="00357733">
        <w:t>povećavaju se za 10.000,00 eura, na 100.000,00 eura, zbog povećanog obujma usluga kooperanata.</w:t>
      </w:r>
    </w:p>
    <w:p w14:paraId="1AA02116" w14:textId="68991AFA" w:rsidR="00357733" w:rsidRDefault="00D872D3" w:rsidP="00FB1F3F">
      <w:pPr>
        <w:pStyle w:val="Odlomakpopisa"/>
        <w:numPr>
          <w:ilvl w:val="1"/>
          <w:numId w:val="7"/>
        </w:numPr>
        <w:jc w:val="both"/>
      </w:pPr>
      <w:r w:rsidRPr="00357733">
        <w:rPr>
          <w:i/>
          <w:iCs/>
        </w:rPr>
        <w:t>Troškovi usluga održavanja</w:t>
      </w:r>
      <w:r w:rsidR="00640BFD">
        <w:t xml:space="preserve"> </w:t>
      </w:r>
      <w:r w:rsidR="00357733" w:rsidRPr="00357733">
        <w:t>povećavaju se za 10.000,00 eura, na 70.000,00 eura, zbog porasta troškova tekućeg održavanja i nepredviđenih servisa strojeva.</w:t>
      </w:r>
    </w:p>
    <w:p w14:paraId="735EF201" w14:textId="2A05FAE8" w:rsidR="001A15D8" w:rsidRDefault="00862519" w:rsidP="00FB1F3F">
      <w:pPr>
        <w:pStyle w:val="Odlomakpopisa"/>
        <w:numPr>
          <w:ilvl w:val="1"/>
          <w:numId w:val="10"/>
        </w:numPr>
        <w:jc w:val="both"/>
      </w:pPr>
      <w:r w:rsidRPr="00357733">
        <w:rPr>
          <w:i/>
          <w:iCs/>
        </w:rPr>
        <w:t>Usluge zakupa i koncesija</w:t>
      </w:r>
      <w:r>
        <w:t xml:space="preserve"> </w:t>
      </w:r>
      <w:r w:rsidR="00357733" w:rsidRPr="00357733">
        <w:t>povećavaju se za 13 %, na 270.000,00 eura, zbog rasta cijena zakupa parkirališta.</w:t>
      </w:r>
    </w:p>
    <w:p w14:paraId="783B07C7" w14:textId="77777777" w:rsidR="00357733" w:rsidRDefault="00357733" w:rsidP="00357733">
      <w:pPr>
        <w:pStyle w:val="Odlomakpopisa"/>
        <w:ind w:left="2007"/>
      </w:pPr>
    </w:p>
    <w:p w14:paraId="53E5AAFB" w14:textId="4675D9D2" w:rsidR="002423AB" w:rsidRPr="00E5504E" w:rsidRDefault="002423AB" w:rsidP="00357733">
      <w:pPr>
        <w:pStyle w:val="Odlomakpopisa"/>
        <w:numPr>
          <w:ilvl w:val="0"/>
          <w:numId w:val="10"/>
        </w:numPr>
        <w:rPr>
          <w:b/>
          <w:bCs/>
        </w:rPr>
      </w:pPr>
      <w:r w:rsidRPr="00E5504E">
        <w:rPr>
          <w:b/>
          <w:bCs/>
        </w:rPr>
        <w:t>Troškovi osoblja</w:t>
      </w:r>
    </w:p>
    <w:p w14:paraId="3365637C" w14:textId="77777777" w:rsidR="00357733" w:rsidRDefault="00357733" w:rsidP="00FB1F3F">
      <w:pPr>
        <w:jc w:val="both"/>
      </w:pPr>
      <w:r w:rsidRPr="00FB1F3F">
        <w:rPr>
          <w:i/>
          <w:iCs/>
        </w:rPr>
        <w:t>Troškovi plaća i ostalih primanja</w:t>
      </w:r>
      <w:r w:rsidRPr="00357733">
        <w:t xml:space="preserve"> zaposlenika, prvotno planirani u iznosu od 750.000,00 eura, povećavaju se za 21 %, na ukupno 908.000,00 eura.</w:t>
      </w:r>
      <w:r>
        <w:t xml:space="preserve"> </w:t>
      </w:r>
    </w:p>
    <w:p w14:paraId="3482B667" w14:textId="27E792B7" w:rsidR="00862519" w:rsidRDefault="00357733" w:rsidP="00FB1F3F">
      <w:pPr>
        <w:jc w:val="both"/>
      </w:pPr>
      <w:r>
        <w:t xml:space="preserve">Razlozi povećanja su </w:t>
      </w:r>
      <w:r w:rsidR="00954D63">
        <w:t>povećanj</w:t>
      </w:r>
      <w:r>
        <w:t>e</w:t>
      </w:r>
      <w:r w:rsidR="00954D63">
        <w:t xml:space="preserve"> </w:t>
      </w:r>
      <w:r w:rsidR="00862519">
        <w:t>broja zaposlenih</w:t>
      </w:r>
      <w:r w:rsidR="00FB1F3F">
        <w:t xml:space="preserve"> te</w:t>
      </w:r>
      <w:r>
        <w:t xml:space="preserve"> </w:t>
      </w:r>
      <w:r w:rsidR="00862519">
        <w:t>povećanj</w:t>
      </w:r>
      <w:r>
        <w:t>e</w:t>
      </w:r>
      <w:r w:rsidR="00862519">
        <w:t xml:space="preserve"> </w:t>
      </w:r>
      <w:r w:rsidR="00954D63">
        <w:t>osnovice za obračun plaće</w:t>
      </w:r>
      <w:r w:rsidR="00AC60B3" w:rsidRPr="00AC60B3">
        <w:t xml:space="preserve"> radnik</w:t>
      </w:r>
      <w:r w:rsidR="00954D63">
        <w:t>a</w:t>
      </w:r>
      <w:r w:rsidR="00A75544">
        <w:t xml:space="preserve"> u kolovozu</w:t>
      </w:r>
      <w:r>
        <w:t>,</w:t>
      </w:r>
      <w:r w:rsidR="00FB1F3F">
        <w:t xml:space="preserve"> što</w:t>
      </w:r>
      <w:r>
        <w:t xml:space="preserve"> </w:t>
      </w:r>
      <w:r w:rsidR="00862519">
        <w:t xml:space="preserve">povećava </w:t>
      </w:r>
      <w:r w:rsidR="00FB1F3F">
        <w:t xml:space="preserve">i </w:t>
      </w:r>
      <w:r w:rsidR="00A75544">
        <w:t>troškov</w:t>
      </w:r>
      <w:r w:rsidR="00FB1F3F">
        <w:t>e</w:t>
      </w:r>
      <w:r w:rsidR="00A75544">
        <w:t xml:space="preserve"> prijevoza</w:t>
      </w:r>
      <w:r w:rsidR="00862519">
        <w:t xml:space="preserve"> i prehrane te troškov</w:t>
      </w:r>
      <w:r w:rsidR="00FB1F3F">
        <w:t>e</w:t>
      </w:r>
      <w:r w:rsidR="00862519">
        <w:t xml:space="preserve"> nagrada, otpremnine i osiguranja</w:t>
      </w:r>
      <w:r w:rsidR="00A75544">
        <w:t xml:space="preserve">. </w:t>
      </w:r>
    </w:p>
    <w:p w14:paraId="3D8DFFB0" w14:textId="77777777" w:rsidR="00A75544" w:rsidRDefault="00A75544" w:rsidP="00357733">
      <w:pPr>
        <w:pStyle w:val="Odlomakpopisa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Amortizacija</w:t>
      </w:r>
    </w:p>
    <w:p w14:paraId="64204E07" w14:textId="13598532" w:rsidR="00A75544" w:rsidRPr="00A75544" w:rsidRDefault="00A75544" w:rsidP="00A75544">
      <w:r>
        <w:t xml:space="preserve">Pozicija </w:t>
      </w:r>
      <w:r w:rsidRPr="00FB1F3F">
        <w:rPr>
          <w:i/>
          <w:iCs/>
        </w:rPr>
        <w:t>Amortizacija</w:t>
      </w:r>
      <w:r>
        <w:t xml:space="preserve"> se </w:t>
      </w:r>
      <w:r w:rsidR="00862519">
        <w:t>smanjuje za 42% na iznos 233.000,00.</w:t>
      </w:r>
    </w:p>
    <w:p w14:paraId="246EAFDF" w14:textId="49AB7012" w:rsidR="00857A67" w:rsidRPr="002D4F67" w:rsidRDefault="00D941E0" w:rsidP="00357733">
      <w:pPr>
        <w:pStyle w:val="Odlomakpopisa"/>
        <w:numPr>
          <w:ilvl w:val="0"/>
          <w:numId w:val="10"/>
        </w:numPr>
        <w:rPr>
          <w:b/>
          <w:bCs/>
        </w:rPr>
      </w:pPr>
      <w:r w:rsidRPr="002D4F67">
        <w:rPr>
          <w:b/>
          <w:bCs/>
        </w:rPr>
        <w:t>Financijski rashodi</w:t>
      </w:r>
    </w:p>
    <w:p w14:paraId="1E5EB081" w14:textId="2D7AF757" w:rsidR="00862519" w:rsidRDefault="00FB1F3F" w:rsidP="00D941E0">
      <w:r w:rsidRPr="00FB1F3F">
        <w:t xml:space="preserve">Zbog prijevremene otplate dugoročnog kredita za izgradnju tržnice, </w:t>
      </w:r>
      <w:r w:rsidRPr="00FB1F3F">
        <w:rPr>
          <w:i/>
          <w:iCs/>
        </w:rPr>
        <w:t>financijski rashodi</w:t>
      </w:r>
      <w:r w:rsidRPr="00FB1F3F">
        <w:t xml:space="preserve"> se smanjuju za 69 %, na iznos od 20.000,00 eura.</w:t>
      </w:r>
    </w:p>
    <w:p w14:paraId="327DBE46" w14:textId="77777777" w:rsidR="000055CF" w:rsidRDefault="000055CF" w:rsidP="00D941E0"/>
    <w:p w14:paraId="228075A7" w14:textId="77777777" w:rsidR="00293AAB" w:rsidRDefault="00293AAB" w:rsidP="00D941E0"/>
    <w:p w14:paraId="52EBC7D2" w14:textId="77777777" w:rsidR="000055CF" w:rsidRDefault="000055CF" w:rsidP="000055CF">
      <w:pPr>
        <w:ind w:left="5954"/>
      </w:pPr>
      <w:r>
        <w:t>Direktor</w:t>
      </w:r>
    </w:p>
    <w:p w14:paraId="3A5DA871" w14:textId="48E96D0C" w:rsidR="000055CF" w:rsidRDefault="000055CF" w:rsidP="000055CF">
      <w:pPr>
        <w:ind w:left="5954"/>
      </w:pPr>
      <w:r>
        <w:t>Danko Milohnić</w:t>
      </w:r>
      <w:r w:rsidR="00C7217F">
        <w:t xml:space="preserve"> v.r.</w:t>
      </w:r>
    </w:p>
    <w:p w14:paraId="1B8E3556" w14:textId="77777777" w:rsidR="00FB1F3F" w:rsidRDefault="00FB1F3F" w:rsidP="000055CF">
      <w:pPr>
        <w:spacing w:after="0"/>
      </w:pPr>
    </w:p>
    <w:p w14:paraId="6E3234F7" w14:textId="77777777" w:rsidR="00FB1F3F" w:rsidRDefault="00FB1F3F" w:rsidP="000055CF">
      <w:pPr>
        <w:spacing w:after="0"/>
      </w:pPr>
    </w:p>
    <w:p w14:paraId="4894450E" w14:textId="77777777" w:rsidR="00FB1F3F" w:rsidRDefault="00FB1F3F" w:rsidP="000055CF">
      <w:pPr>
        <w:spacing w:after="0"/>
      </w:pPr>
    </w:p>
    <w:p w14:paraId="23F6E221" w14:textId="77777777" w:rsidR="00FB1F3F" w:rsidRDefault="00FB1F3F" w:rsidP="000055CF">
      <w:pPr>
        <w:spacing w:after="0"/>
      </w:pPr>
    </w:p>
    <w:p w14:paraId="2DCCEC78" w14:textId="3EA00CB4" w:rsidR="00925C17" w:rsidRPr="00A83233" w:rsidRDefault="003E79F2" w:rsidP="000055CF">
      <w:pPr>
        <w:spacing w:after="0"/>
      </w:pPr>
      <w:r w:rsidRPr="00A83233">
        <w:t>KLASA: 400</w:t>
      </w:r>
      <w:r w:rsidR="00A83233" w:rsidRPr="00A83233">
        <w:t>-01/2</w:t>
      </w:r>
      <w:r w:rsidR="00010621">
        <w:t>5</w:t>
      </w:r>
      <w:r w:rsidR="00A83233" w:rsidRPr="00A83233">
        <w:t>-01/0</w:t>
      </w:r>
      <w:r w:rsidR="00612A42">
        <w:t>5</w:t>
      </w:r>
    </w:p>
    <w:p w14:paraId="0757C44F" w14:textId="5E36FFFB" w:rsidR="003E79F2" w:rsidRDefault="003E79F2" w:rsidP="000055CF">
      <w:pPr>
        <w:spacing w:after="0"/>
      </w:pPr>
      <w:r w:rsidRPr="00A83233">
        <w:t>URBROJ: 2142-19-02/1-2</w:t>
      </w:r>
      <w:r w:rsidR="00010621">
        <w:t>5</w:t>
      </w:r>
      <w:r w:rsidRPr="00A83233">
        <w:t>-</w:t>
      </w:r>
      <w:r w:rsidR="00A83233" w:rsidRPr="00A83233">
        <w:t>1</w:t>
      </w:r>
    </w:p>
    <w:p w14:paraId="337B0E77" w14:textId="73BB160F" w:rsidR="003E79F2" w:rsidRDefault="003E79F2" w:rsidP="000055CF">
      <w:pPr>
        <w:spacing w:after="0"/>
      </w:pPr>
      <w:r>
        <w:t>Krk, 1</w:t>
      </w:r>
      <w:r w:rsidR="00862519">
        <w:t>7</w:t>
      </w:r>
      <w:r>
        <w:t>. prosinca 202</w:t>
      </w:r>
      <w:r w:rsidR="00862519">
        <w:t>5</w:t>
      </w:r>
      <w:r>
        <w:t>. godine</w:t>
      </w:r>
    </w:p>
    <w:sectPr w:rsidR="003E79F2" w:rsidSect="00FB1F3F">
      <w:headerReference w:type="default" r:id="rId13"/>
      <w:type w:val="continuous"/>
      <w:pgSz w:w="12240" w:h="15840"/>
      <w:pgMar w:top="1440" w:right="1440" w:bottom="1440" w:left="1440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C9E1" w14:textId="77777777" w:rsidR="00CB0A5E" w:rsidRDefault="00CB0A5E" w:rsidP="005118D9">
      <w:pPr>
        <w:spacing w:after="0" w:line="240" w:lineRule="auto"/>
      </w:pPr>
      <w:r>
        <w:separator/>
      </w:r>
    </w:p>
  </w:endnote>
  <w:endnote w:type="continuationSeparator" w:id="0">
    <w:p w14:paraId="1EDD9865" w14:textId="77777777" w:rsidR="00CB0A5E" w:rsidRDefault="00CB0A5E" w:rsidP="0051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01657"/>
      <w:docPartObj>
        <w:docPartGallery w:val="Page Numbers (Bottom of Page)"/>
        <w:docPartUnique/>
      </w:docPartObj>
    </w:sdtPr>
    <w:sdtEndPr/>
    <w:sdtContent>
      <w:p w14:paraId="2125E1C8" w14:textId="77777777" w:rsidR="00FB1F3F" w:rsidRDefault="00FB1F3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F3EFA95" w14:textId="77777777" w:rsidR="00FB1F3F" w:rsidRDefault="00FB1F3F">
        <w:pPr>
          <w:pStyle w:val="Podnoje"/>
          <w:jc w:val="center"/>
        </w:pPr>
      </w:p>
      <w:p w14:paraId="26A1C45F" w14:textId="77777777" w:rsidR="00FB1F3F" w:rsidRPr="005A75E0" w:rsidRDefault="00FB1F3F" w:rsidP="00FB1F3F">
        <w:pPr>
          <w:pStyle w:val="Podnoje"/>
          <w:tabs>
            <w:tab w:val="right" w:pos="6237"/>
          </w:tabs>
          <w:jc w:val="center"/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</w:pPr>
        <w:bookmarkStart w:id="0" w:name="_Hlk119480801"/>
        <w:bookmarkStart w:id="1" w:name="_Hlk119480802"/>
        <w:bookmarkStart w:id="2" w:name="_Hlk119480806"/>
        <w:bookmarkStart w:id="3" w:name="_Hlk119480807"/>
        <w:bookmarkStart w:id="4" w:name="_Hlk119480808"/>
        <w:bookmarkStart w:id="5" w:name="_Hlk119480809"/>
        <w:bookmarkStart w:id="6" w:name="_Hlk119492987"/>
        <w:bookmarkStart w:id="7" w:name="_Hlk119492988"/>
        <w:r w:rsidRPr="005A75E0"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>VECLA d.o.o. ZA OBAVLJANJE KOMUNALNIH I LUČKIH DJELATNOSTI,  KRK,  LUKOBRAN 5,  E-MAIL: VECLA@VECLA.HR</w:t>
        </w:r>
      </w:p>
      <w:p w14:paraId="26F725A3" w14:textId="77777777" w:rsidR="00FB1F3F" w:rsidRDefault="00FB1F3F" w:rsidP="00FB1F3F">
        <w:pPr>
          <w:pStyle w:val="Podnoje"/>
          <w:tabs>
            <w:tab w:val="right" w:pos="6237"/>
          </w:tabs>
          <w:jc w:val="center"/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</w:pPr>
        <w:r w:rsidRPr="005A75E0"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>OIB:33825903375</w:t>
        </w:r>
        <w:r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 xml:space="preserve"> </w:t>
        </w:r>
        <w:r w:rsidRPr="005A75E0"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>/</w:t>
        </w:r>
        <w:r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 xml:space="preserve"> </w:t>
        </w:r>
        <w:r w:rsidRPr="005A75E0"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>IBAN</w:t>
        </w:r>
        <w:r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>(ERSTE)</w:t>
        </w:r>
        <w:r w:rsidRPr="005A75E0"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>: HR2124020061100071994</w:t>
        </w:r>
        <w:r w:rsidRPr="00404C7A"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 xml:space="preserve"> </w:t>
        </w:r>
        <w:r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 xml:space="preserve">/ </w:t>
        </w:r>
        <w:r w:rsidRPr="005A75E0"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>IBAN</w:t>
        </w:r>
        <w:r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>(ZABA)</w:t>
        </w:r>
        <w:r w:rsidRPr="005A75E0"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>: HR</w:t>
        </w:r>
        <w:r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>9723600001102641953</w:t>
        </w:r>
      </w:p>
      <w:p w14:paraId="726BAFBC" w14:textId="77777777" w:rsidR="00FB1F3F" w:rsidRPr="00E96264" w:rsidRDefault="00FB1F3F" w:rsidP="00FB1F3F">
        <w:pPr>
          <w:pStyle w:val="Podnoje"/>
          <w:tabs>
            <w:tab w:val="right" w:pos="6237"/>
          </w:tabs>
          <w:jc w:val="center"/>
          <w:rPr>
            <w:rFonts w:ascii="Maiandra GD" w:hAnsi="Maiandra GD"/>
            <w:noProof/>
            <w:color w:val="0097CC"/>
            <w:sz w:val="13"/>
            <w:szCs w:val="13"/>
            <w:lang w:eastAsia="hr-HR"/>
          </w:rPr>
        </w:pPr>
        <w:r w:rsidRPr="005A75E0"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>TEL: +385 51 401 181,</w:t>
        </w:r>
        <w:r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 xml:space="preserve"> </w:t>
        </w:r>
        <w:r w:rsidRPr="005A75E0">
          <w:rPr>
            <w:rFonts w:ascii="Maiandra GD" w:hAnsi="Maiandra GD"/>
            <w:b/>
            <w:noProof/>
            <w:color w:val="0097CC"/>
            <w:sz w:val="16"/>
            <w:szCs w:val="16"/>
            <w:lang w:eastAsia="hr-HR"/>
          </w:rPr>
          <w:t>FAX:  +385 51 401 191</w:t>
        </w:r>
      </w:p>
      <w:p w14:paraId="413FE93F" w14:textId="2841B11D" w:rsidR="00FB1F3F" w:rsidRDefault="00612A42" w:rsidP="00FB1F3F">
        <w:pPr>
          <w:pStyle w:val="Podnoje"/>
          <w:jc w:val="center"/>
        </w:pPr>
        <w:r>
          <w:rPr>
            <w:rFonts w:ascii="Maiandra GD" w:hAnsi="Maiandra GD"/>
            <w:noProof/>
            <w:color w:val="0097CC"/>
            <w:sz w:val="16"/>
            <w:szCs w:val="16"/>
            <w:lang w:eastAsia="hr-HR"/>
          </w:rPr>
          <w:pict w14:anchorId="0818487E">
            <v:rect id="_x0000_i1025" style="width:386.2pt;height:11.5pt" o:hrpct="973" o:hralign="center" o:hrstd="t" o:hrnoshade="t" o:hr="t" fillcolor="#00b0f0" stroked="f"/>
          </w:pict>
        </w:r>
      </w:p>
      <w:bookmarkEnd w:id="7" w:displacedByCustomXml="next"/>
      <w:bookmarkEnd w:id="6" w:displacedByCustomXml="next"/>
      <w:bookmarkEnd w:id="5" w:displacedByCustomXml="next"/>
      <w:bookmarkEnd w:id="4" w:displacedByCustomXml="next"/>
      <w:bookmarkEnd w:id="3" w:displacedByCustomXml="next"/>
      <w:bookmarkEnd w:id="2" w:displacedByCustomXml="next"/>
      <w:bookmarkEnd w:id="1" w:displacedByCustomXml="next"/>
      <w:bookmarkEnd w:id="0" w:displacedByCustomXml="next"/>
    </w:sdtContent>
  </w:sdt>
  <w:p w14:paraId="7B8E549B" w14:textId="71F4391C" w:rsidR="00FB1F3F" w:rsidRDefault="00FB1F3F" w:rsidP="00FB1F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234908"/>
      <w:docPartObj>
        <w:docPartGallery w:val="Page Numbers (Bottom of Page)"/>
        <w:docPartUnique/>
      </w:docPartObj>
    </w:sdtPr>
    <w:sdtEndPr/>
    <w:sdtContent>
      <w:p w14:paraId="09557FEA" w14:textId="150A4373" w:rsidR="00FB1F3F" w:rsidRDefault="00FB1F3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90C4D" w14:textId="2B33A4C4" w:rsidR="00FB1F3F" w:rsidRPr="00FB1F3F" w:rsidRDefault="00FB1F3F" w:rsidP="00FB1F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9553" w14:textId="77777777" w:rsidR="00CB0A5E" w:rsidRDefault="00CB0A5E" w:rsidP="005118D9">
      <w:pPr>
        <w:spacing w:after="0" w:line="240" w:lineRule="auto"/>
      </w:pPr>
      <w:r>
        <w:separator/>
      </w:r>
    </w:p>
  </w:footnote>
  <w:footnote w:type="continuationSeparator" w:id="0">
    <w:p w14:paraId="78D7F512" w14:textId="77777777" w:rsidR="00CB0A5E" w:rsidRDefault="00CB0A5E" w:rsidP="0051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2C2D" w14:textId="0B6A4C40" w:rsidR="005118D9" w:rsidRDefault="005118D9" w:rsidP="005118D9">
    <w:pPr>
      <w:pStyle w:val="Zaglavlje"/>
      <w:jc w:val="center"/>
    </w:pPr>
    <w:r w:rsidRPr="00AF2517">
      <w:rPr>
        <w:noProof/>
        <w:lang w:eastAsia="hr-HR"/>
      </w:rPr>
      <w:drawing>
        <wp:inline distT="0" distB="0" distL="0" distR="0" wp14:anchorId="07FBD7AB" wp14:editId="638D793C">
          <wp:extent cx="1238250" cy="1143000"/>
          <wp:effectExtent l="0" t="0" r="0" b="0"/>
          <wp:docPr id="2013792609" name="Picture 2013792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F60F" w14:textId="2AA6DDD5" w:rsidR="00FB1F3F" w:rsidRDefault="00FB1F3F" w:rsidP="005118D9">
    <w:pPr>
      <w:pStyle w:val="Zaglavlj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6F3D" w14:textId="7FA7C1C8" w:rsidR="00FB1F3F" w:rsidRDefault="00FB1F3F" w:rsidP="005118D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B39"/>
    <w:multiLevelType w:val="hybridMultilevel"/>
    <w:tmpl w:val="E6D2862C"/>
    <w:lvl w:ilvl="0" w:tplc="8740456E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6B12718"/>
    <w:multiLevelType w:val="hybridMultilevel"/>
    <w:tmpl w:val="5C4A1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0A9E"/>
    <w:multiLevelType w:val="multilevel"/>
    <w:tmpl w:val="B524A072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3" w15:restartNumberingAfterBreak="0">
    <w:nsid w:val="238976A8"/>
    <w:multiLevelType w:val="hybridMultilevel"/>
    <w:tmpl w:val="9DA2E46A"/>
    <w:lvl w:ilvl="0" w:tplc="80D4C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47DAC"/>
    <w:multiLevelType w:val="hybridMultilevel"/>
    <w:tmpl w:val="D512A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2486B"/>
    <w:multiLevelType w:val="hybridMultilevel"/>
    <w:tmpl w:val="7018C762"/>
    <w:lvl w:ilvl="0" w:tplc="B4AA5AA2">
      <w:start w:val="1"/>
      <w:numFmt w:val="decimal"/>
      <w:lvlText w:val="%1."/>
      <w:lvlJc w:val="left"/>
      <w:pPr>
        <w:ind w:left="1287" w:hanging="360"/>
      </w:pPr>
      <w:rPr>
        <w:rFonts w:ascii="Cambria" w:eastAsiaTheme="minorHAnsi" w:hAnsi="Cambria" w:cstheme="minorBidi"/>
      </w:rPr>
    </w:lvl>
    <w:lvl w:ilvl="1" w:tplc="1082C3AE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19E48A08">
      <w:start w:val="5"/>
      <w:numFmt w:val="bullet"/>
      <w:lvlText w:val=""/>
      <w:lvlJc w:val="left"/>
      <w:pPr>
        <w:ind w:left="2787" w:hanging="420"/>
      </w:pPr>
      <w:rPr>
        <w:rFonts w:ascii="Symbol" w:eastAsiaTheme="minorHAnsi" w:hAnsi="Symbol" w:cstheme="minorBidi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0EA592B"/>
    <w:multiLevelType w:val="hybridMultilevel"/>
    <w:tmpl w:val="CF6013CE"/>
    <w:lvl w:ilvl="0" w:tplc="12CA23B8">
      <w:start w:val="9"/>
      <w:numFmt w:val="bullet"/>
      <w:lvlText w:val="-"/>
      <w:lvlJc w:val="left"/>
      <w:pPr>
        <w:ind w:left="2007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580B7589"/>
    <w:multiLevelType w:val="hybridMultilevel"/>
    <w:tmpl w:val="CEC29DFC"/>
    <w:lvl w:ilvl="0" w:tplc="12CA23B8">
      <w:start w:val="9"/>
      <w:numFmt w:val="bullet"/>
      <w:lvlText w:val="-"/>
      <w:lvlJc w:val="left"/>
      <w:pPr>
        <w:ind w:left="2007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5825579F"/>
    <w:multiLevelType w:val="hybridMultilevel"/>
    <w:tmpl w:val="DB2A74F4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Cambria" w:eastAsiaTheme="minorHAnsi" w:hAnsi="Cambria" w:cstheme="minorBidi"/>
      </w:rPr>
    </w:lvl>
    <w:lvl w:ilvl="1" w:tplc="FFFFFFFF">
      <w:start w:val="1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5"/>
      <w:numFmt w:val="bullet"/>
      <w:lvlText w:val=""/>
      <w:lvlJc w:val="left"/>
      <w:pPr>
        <w:ind w:left="2787" w:hanging="420"/>
      </w:pPr>
      <w:rPr>
        <w:rFonts w:ascii="Symbol" w:eastAsiaTheme="minorHAnsi" w:hAnsi="Symbol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F531FF"/>
    <w:multiLevelType w:val="hybridMultilevel"/>
    <w:tmpl w:val="96BE9A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462AA"/>
    <w:multiLevelType w:val="multilevel"/>
    <w:tmpl w:val="FD3208E6"/>
    <w:lvl w:ilvl="0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11" w15:restartNumberingAfterBreak="0">
    <w:nsid w:val="65B23978"/>
    <w:multiLevelType w:val="hybridMultilevel"/>
    <w:tmpl w:val="05A87B80"/>
    <w:lvl w:ilvl="0" w:tplc="77F20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45701">
    <w:abstractNumId w:val="5"/>
  </w:num>
  <w:num w:numId="2" w16cid:durableId="2095272451">
    <w:abstractNumId w:val="6"/>
  </w:num>
  <w:num w:numId="3" w16cid:durableId="743995718">
    <w:abstractNumId w:val="7"/>
  </w:num>
  <w:num w:numId="4" w16cid:durableId="745109898">
    <w:abstractNumId w:val="8"/>
  </w:num>
  <w:num w:numId="5" w16cid:durableId="1844781866">
    <w:abstractNumId w:val="11"/>
  </w:num>
  <w:num w:numId="6" w16cid:durableId="164131822">
    <w:abstractNumId w:val="0"/>
  </w:num>
  <w:num w:numId="7" w16cid:durableId="1869953166">
    <w:abstractNumId w:val="2"/>
  </w:num>
  <w:num w:numId="8" w16cid:durableId="1379822299">
    <w:abstractNumId w:val="1"/>
  </w:num>
  <w:num w:numId="9" w16cid:durableId="277027710">
    <w:abstractNumId w:val="9"/>
  </w:num>
  <w:num w:numId="10" w16cid:durableId="1903325387">
    <w:abstractNumId w:val="10"/>
  </w:num>
  <w:num w:numId="11" w16cid:durableId="721559646">
    <w:abstractNumId w:val="4"/>
  </w:num>
  <w:num w:numId="12" w16cid:durableId="379672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B3"/>
    <w:rsid w:val="000055CF"/>
    <w:rsid w:val="00010621"/>
    <w:rsid w:val="000226AD"/>
    <w:rsid w:val="00066CD8"/>
    <w:rsid w:val="000746F9"/>
    <w:rsid w:val="0007670E"/>
    <w:rsid w:val="00084FA7"/>
    <w:rsid w:val="000C120C"/>
    <w:rsid w:val="000C4F5F"/>
    <w:rsid w:val="000D59B5"/>
    <w:rsid w:val="000E6181"/>
    <w:rsid w:val="00101A39"/>
    <w:rsid w:val="0010755F"/>
    <w:rsid w:val="00117E38"/>
    <w:rsid w:val="00127A6A"/>
    <w:rsid w:val="0019184A"/>
    <w:rsid w:val="00195319"/>
    <w:rsid w:val="001A15D8"/>
    <w:rsid w:val="001F241C"/>
    <w:rsid w:val="001F4DF9"/>
    <w:rsid w:val="001F5222"/>
    <w:rsid w:val="001F6833"/>
    <w:rsid w:val="00222564"/>
    <w:rsid w:val="002404D0"/>
    <w:rsid w:val="002423AB"/>
    <w:rsid w:val="00242678"/>
    <w:rsid w:val="002435D1"/>
    <w:rsid w:val="002457AD"/>
    <w:rsid w:val="0025422E"/>
    <w:rsid w:val="002576A0"/>
    <w:rsid w:val="00262B17"/>
    <w:rsid w:val="00293AAB"/>
    <w:rsid w:val="002A70B8"/>
    <w:rsid w:val="002B28E4"/>
    <w:rsid w:val="002B3FED"/>
    <w:rsid w:val="002D4F67"/>
    <w:rsid w:val="002D7A9D"/>
    <w:rsid w:val="003001B9"/>
    <w:rsid w:val="00302264"/>
    <w:rsid w:val="00304F0A"/>
    <w:rsid w:val="00310F51"/>
    <w:rsid w:val="003136AC"/>
    <w:rsid w:val="00332041"/>
    <w:rsid w:val="00341508"/>
    <w:rsid w:val="00355B9F"/>
    <w:rsid w:val="00357733"/>
    <w:rsid w:val="00390A90"/>
    <w:rsid w:val="003A102E"/>
    <w:rsid w:val="003A1A4A"/>
    <w:rsid w:val="003B0E41"/>
    <w:rsid w:val="003B176E"/>
    <w:rsid w:val="003D2AB3"/>
    <w:rsid w:val="003D6858"/>
    <w:rsid w:val="003E17CD"/>
    <w:rsid w:val="003E79F2"/>
    <w:rsid w:val="0040565F"/>
    <w:rsid w:val="00413AF9"/>
    <w:rsid w:val="00417CD0"/>
    <w:rsid w:val="004205E0"/>
    <w:rsid w:val="00426140"/>
    <w:rsid w:val="00426689"/>
    <w:rsid w:val="00427B9B"/>
    <w:rsid w:val="00442565"/>
    <w:rsid w:val="004D2CD9"/>
    <w:rsid w:val="004D54F9"/>
    <w:rsid w:val="004E1546"/>
    <w:rsid w:val="004E7F73"/>
    <w:rsid w:val="004F121D"/>
    <w:rsid w:val="00506623"/>
    <w:rsid w:val="00507BE3"/>
    <w:rsid w:val="005118D9"/>
    <w:rsid w:val="00511DAE"/>
    <w:rsid w:val="0051248B"/>
    <w:rsid w:val="005176C2"/>
    <w:rsid w:val="005302A8"/>
    <w:rsid w:val="00560E5E"/>
    <w:rsid w:val="005646CF"/>
    <w:rsid w:val="005834D9"/>
    <w:rsid w:val="00584BC3"/>
    <w:rsid w:val="005923A2"/>
    <w:rsid w:val="00592CC7"/>
    <w:rsid w:val="005A0B95"/>
    <w:rsid w:val="005A1F92"/>
    <w:rsid w:val="005C1B00"/>
    <w:rsid w:val="005E1CDE"/>
    <w:rsid w:val="005E3C87"/>
    <w:rsid w:val="005E5950"/>
    <w:rsid w:val="005F039B"/>
    <w:rsid w:val="005F45A1"/>
    <w:rsid w:val="005F57C8"/>
    <w:rsid w:val="0060293D"/>
    <w:rsid w:val="00612A42"/>
    <w:rsid w:val="00615BBC"/>
    <w:rsid w:val="00640BFD"/>
    <w:rsid w:val="00647DDD"/>
    <w:rsid w:val="00656712"/>
    <w:rsid w:val="00681AC6"/>
    <w:rsid w:val="00685B97"/>
    <w:rsid w:val="006A134F"/>
    <w:rsid w:val="006B3F21"/>
    <w:rsid w:val="006B4D98"/>
    <w:rsid w:val="006C05A8"/>
    <w:rsid w:val="006C2191"/>
    <w:rsid w:val="006C3F98"/>
    <w:rsid w:val="00714E33"/>
    <w:rsid w:val="00716525"/>
    <w:rsid w:val="0072273D"/>
    <w:rsid w:val="00724BF9"/>
    <w:rsid w:val="00731CC1"/>
    <w:rsid w:val="00734BD2"/>
    <w:rsid w:val="00775246"/>
    <w:rsid w:val="00777B6C"/>
    <w:rsid w:val="00794EA6"/>
    <w:rsid w:val="007963F7"/>
    <w:rsid w:val="007A2054"/>
    <w:rsid w:val="007C161E"/>
    <w:rsid w:val="007C733C"/>
    <w:rsid w:val="007D1673"/>
    <w:rsid w:val="007D67B9"/>
    <w:rsid w:val="007E39AF"/>
    <w:rsid w:val="007F07FB"/>
    <w:rsid w:val="008011C7"/>
    <w:rsid w:val="00807543"/>
    <w:rsid w:val="00817762"/>
    <w:rsid w:val="00825B1D"/>
    <w:rsid w:val="0085580D"/>
    <w:rsid w:val="00857A67"/>
    <w:rsid w:val="00862519"/>
    <w:rsid w:val="00872ED6"/>
    <w:rsid w:val="008757EB"/>
    <w:rsid w:val="00885BDE"/>
    <w:rsid w:val="008872E0"/>
    <w:rsid w:val="008B2478"/>
    <w:rsid w:val="008C7D20"/>
    <w:rsid w:val="008D141A"/>
    <w:rsid w:val="008D366F"/>
    <w:rsid w:val="008E2DED"/>
    <w:rsid w:val="00911EA7"/>
    <w:rsid w:val="00925C17"/>
    <w:rsid w:val="00946265"/>
    <w:rsid w:val="0095465A"/>
    <w:rsid w:val="00954D63"/>
    <w:rsid w:val="009676CA"/>
    <w:rsid w:val="00981B95"/>
    <w:rsid w:val="009A3CA3"/>
    <w:rsid w:val="009B1777"/>
    <w:rsid w:val="009B43B2"/>
    <w:rsid w:val="009B5FD3"/>
    <w:rsid w:val="009D0D7C"/>
    <w:rsid w:val="00A037A9"/>
    <w:rsid w:val="00A04111"/>
    <w:rsid w:val="00A05FE8"/>
    <w:rsid w:val="00A06D36"/>
    <w:rsid w:val="00A255D2"/>
    <w:rsid w:val="00A2797F"/>
    <w:rsid w:val="00A35186"/>
    <w:rsid w:val="00A41431"/>
    <w:rsid w:val="00A418DB"/>
    <w:rsid w:val="00A51544"/>
    <w:rsid w:val="00A51630"/>
    <w:rsid w:val="00A66E84"/>
    <w:rsid w:val="00A75544"/>
    <w:rsid w:val="00A83233"/>
    <w:rsid w:val="00AB2B9B"/>
    <w:rsid w:val="00AC60B3"/>
    <w:rsid w:val="00AE3512"/>
    <w:rsid w:val="00B03273"/>
    <w:rsid w:val="00B23758"/>
    <w:rsid w:val="00B37B0B"/>
    <w:rsid w:val="00B40172"/>
    <w:rsid w:val="00B440AF"/>
    <w:rsid w:val="00B46D52"/>
    <w:rsid w:val="00B5282B"/>
    <w:rsid w:val="00B55D12"/>
    <w:rsid w:val="00B67C53"/>
    <w:rsid w:val="00B754BF"/>
    <w:rsid w:val="00B80DC2"/>
    <w:rsid w:val="00B82A6F"/>
    <w:rsid w:val="00BB52E1"/>
    <w:rsid w:val="00BC37C0"/>
    <w:rsid w:val="00BC3E45"/>
    <w:rsid w:val="00BD0507"/>
    <w:rsid w:val="00BD2E38"/>
    <w:rsid w:val="00BD5DBB"/>
    <w:rsid w:val="00BD7E8B"/>
    <w:rsid w:val="00BE21C5"/>
    <w:rsid w:val="00BF3E81"/>
    <w:rsid w:val="00C127B2"/>
    <w:rsid w:val="00C26079"/>
    <w:rsid w:val="00C270F7"/>
    <w:rsid w:val="00C32C09"/>
    <w:rsid w:val="00C34B89"/>
    <w:rsid w:val="00C34F6D"/>
    <w:rsid w:val="00C55AE6"/>
    <w:rsid w:val="00C64B41"/>
    <w:rsid w:val="00C64F1C"/>
    <w:rsid w:val="00C7217F"/>
    <w:rsid w:val="00C81AE8"/>
    <w:rsid w:val="00C86C33"/>
    <w:rsid w:val="00C92EEB"/>
    <w:rsid w:val="00CA51EC"/>
    <w:rsid w:val="00CB0A5E"/>
    <w:rsid w:val="00CB2CDC"/>
    <w:rsid w:val="00CB5E9F"/>
    <w:rsid w:val="00CD0A8D"/>
    <w:rsid w:val="00CF3FD1"/>
    <w:rsid w:val="00D10E66"/>
    <w:rsid w:val="00D10ED0"/>
    <w:rsid w:val="00D12344"/>
    <w:rsid w:val="00D336F8"/>
    <w:rsid w:val="00D36B04"/>
    <w:rsid w:val="00D412D0"/>
    <w:rsid w:val="00D525BF"/>
    <w:rsid w:val="00D57B22"/>
    <w:rsid w:val="00D639BC"/>
    <w:rsid w:val="00D662D0"/>
    <w:rsid w:val="00D8577D"/>
    <w:rsid w:val="00D872D3"/>
    <w:rsid w:val="00D936CD"/>
    <w:rsid w:val="00D941E0"/>
    <w:rsid w:val="00DA518E"/>
    <w:rsid w:val="00DA783B"/>
    <w:rsid w:val="00DB0918"/>
    <w:rsid w:val="00DD2DDF"/>
    <w:rsid w:val="00DD71A9"/>
    <w:rsid w:val="00DF2CAF"/>
    <w:rsid w:val="00E2122F"/>
    <w:rsid w:val="00E2178F"/>
    <w:rsid w:val="00E245BD"/>
    <w:rsid w:val="00E420D2"/>
    <w:rsid w:val="00E44091"/>
    <w:rsid w:val="00E45AC7"/>
    <w:rsid w:val="00E5504E"/>
    <w:rsid w:val="00E60DB7"/>
    <w:rsid w:val="00E7357C"/>
    <w:rsid w:val="00E74CCB"/>
    <w:rsid w:val="00E909B5"/>
    <w:rsid w:val="00E96101"/>
    <w:rsid w:val="00EB0058"/>
    <w:rsid w:val="00EB0CB6"/>
    <w:rsid w:val="00EB4DFE"/>
    <w:rsid w:val="00EE4B64"/>
    <w:rsid w:val="00EE50F7"/>
    <w:rsid w:val="00EF71CA"/>
    <w:rsid w:val="00F2241B"/>
    <w:rsid w:val="00F23B6C"/>
    <w:rsid w:val="00F2494D"/>
    <w:rsid w:val="00F53454"/>
    <w:rsid w:val="00F62BDB"/>
    <w:rsid w:val="00F94A93"/>
    <w:rsid w:val="00FA6692"/>
    <w:rsid w:val="00FB0408"/>
    <w:rsid w:val="00FB1F3F"/>
    <w:rsid w:val="00FB235B"/>
    <w:rsid w:val="00FC1C98"/>
    <w:rsid w:val="00FC4D53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3826D"/>
  <w15:chartTrackingRefBased/>
  <w15:docId w15:val="{FF0BC47C-8FBE-4654-856B-F9EB4C15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B3"/>
    <w:rPr>
      <w:rFonts w:ascii="Cambria" w:hAnsi="Cambria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60B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11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8D9"/>
    <w:rPr>
      <w:rFonts w:ascii="Cambria" w:hAnsi="Cambria"/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11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8D9"/>
    <w:rPr>
      <w:rFonts w:ascii="Cambria" w:hAnsi="Cambria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 Milohnić</dc:creator>
  <cp:keywords/>
  <dc:description/>
  <cp:lastModifiedBy>Karla Jurešić</cp:lastModifiedBy>
  <cp:revision>22</cp:revision>
  <dcterms:created xsi:type="dcterms:W3CDTF">2024-11-29T08:26:00Z</dcterms:created>
  <dcterms:modified xsi:type="dcterms:W3CDTF">2025-12-10T10:40:00Z</dcterms:modified>
</cp:coreProperties>
</file>