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F77EC" w14:textId="77777777" w:rsidR="006D07B3" w:rsidRDefault="006D07B3" w:rsidP="006D07B3">
      <w:pPr>
        <w:spacing w:line="256" w:lineRule="auto"/>
        <w:jc w:val="center"/>
        <w:rPr>
          <w:rFonts w:ascii="Cambria" w:eastAsia="Calibri" w:hAnsi="Cambria" w:cs="Arial"/>
          <w:b/>
          <w:bCs/>
          <w:i/>
          <w:iCs/>
        </w:rPr>
      </w:pPr>
      <w:bookmarkStart w:id="0" w:name="_Hlk184114607"/>
    </w:p>
    <w:p w14:paraId="69553BC9" w14:textId="19FC477E" w:rsidR="006D07B3" w:rsidRDefault="006D07B3" w:rsidP="006D07B3">
      <w:pPr>
        <w:spacing w:line="256" w:lineRule="auto"/>
        <w:jc w:val="center"/>
        <w:rPr>
          <w:rFonts w:ascii="Cambria" w:eastAsia="Calibri" w:hAnsi="Cambria" w:cs="Arial"/>
          <w:b/>
          <w:bCs/>
          <w:i/>
          <w:iCs/>
        </w:rPr>
      </w:pPr>
      <w:r>
        <w:rPr>
          <w:rFonts w:ascii="Cambria" w:eastAsia="Calibri" w:hAnsi="Cambria" w:cs="Arial"/>
          <w:b/>
          <w:bCs/>
          <w:i/>
          <w:iCs/>
        </w:rPr>
        <w:t>IZVJEŠTAJ O PROVEDBI GODIŠNJEG PROGRAMA RADA I FINANCIJSKOG PLANA ZA PRVIH 9 MJESECI 2024. GODINE</w:t>
      </w:r>
    </w:p>
    <w:p w14:paraId="05E3731A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01C36133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Svi poslovi i sve planirane aktivnosti se provode i odrađuju prema planovima i do kraja godine se ne planiraju nikakva odstupanja. </w:t>
      </w:r>
    </w:p>
    <w:p w14:paraId="3F749035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Projekt izgradnje i opremanja Tržnice na malo sv. Bernardin je završen i u lipnju je dobivena uporabna dozvola.</w:t>
      </w:r>
    </w:p>
    <w:p w14:paraId="75CD2150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Vezano uz projekt i ugovor s APPRRR-om do sada je dobiveno 50% sredstava u iznosu od 356.110,00 eura dok će se ostatak sredstava povući po konačnoj kontroli, planirano tijekom 2025 godine.</w:t>
      </w:r>
    </w:p>
    <w:p w14:paraId="5983E5A9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Dobivenim sredstvima se zatvorio jedan dio dugoročnog kredita kojeg smo uzeli za izgradnju tržnice.  </w:t>
      </w:r>
    </w:p>
    <w:p w14:paraId="340E57F1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Godina je bila puna izazova vezanih uz ljudske resurse s obzirom da smo imali nekoliko dugotrajnih bolovanja, porodiljnih i očinskih dopusta te nekoliko otkaza ugovora o radu. </w:t>
      </w:r>
    </w:p>
    <w:p w14:paraId="25508056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Međutim, sve smo poslove uspješno odradili novim zapošljavanjima i reorganizacijom postojećih djelatnika. </w:t>
      </w:r>
    </w:p>
    <w:p w14:paraId="1C58172C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Kroz godinu smo proveli nekoliko natječaja za zaposlenje i zaposlili 5 novih djelatnika na raznim poslovima, a u sezoni smo imali još nekoliko djelatnika zaposlenih putem ugovora o radu na određeno vrijeme ili putem student servisa.</w:t>
      </w:r>
    </w:p>
    <w:p w14:paraId="7A7DA1BD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Trenutno zapošljavamo 30 ljudi.</w:t>
      </w:r>
    </w:p>
    <w:p w14:paraId="40B2B6B0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23174E7D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  <w:b/>
          <w:bCs/>
          <w:i/>
          <w:iCs/>
        </w:rPr>
      </w:pPr>
      <w:r>
        <w:rPr>
          <w:rFonts w:ascii="Cambria" w:eastAsia="Calibri" w:hAnsi="Cambria" w:cs="Arial"/>
          <w:b/>
          <w:bCs/>
          <w:i/>
          <w:iCs/>
        </w:rPr>
        <w:t>Javne, zelene površine i plaže</w:t>
      </w:r>
    </w:p>
    <w:p w14:paraId="502ACF00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Sve pripreme na javnim, zelenim površinama smo pravovremeno odradili i sezonu dočekali spremni bez poteškoća. </w:t>
      </w:r>
    </w:p>
    <w:p w14:paraId="155418AE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Međutim, ponovno smo imali problema s kućnim otpadom u i pokraj koševa za sitne otpatke i s tim problemom smo se borili cijelu sezonu. Problem smo ublažili uvođenjem još jedne smjene pražnjenja koševa te na taj način odradili sezonu.</w:t>
      </w:r>
    </w:p>
    <w:p w14:paraId="56439158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Ostale poslove koje imamo povjerene od strane Grada Krka smo odradili u skladu s ugovorima.</w:t>
      </w:r>
    </w:p>
    <w:p w14:paraId="792BB767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Prihodi ostvareni u prvih 9 mjeseci su za 35% veći u odnosu na isto razdoblje prošle godine. S obzirom da su ove godine povećana sredstva u gradskom proračunu za te povjerene poslove. </w:t>
      </w:r>
    </w:p>
    <w:p w14:paraId="1D27F3D7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  <w:b/>
          <w:bCs/>
          <w:i/>
          <w:iCs/>
        </w:rPr>
      </w:pPr>
      <w:r>
        <w:rPr>
          <w:rFonts w:ascii="Cambria" w:eastAsia="Calibri" w:hAnsi="Cambria" w:cs="Arial"/>
          <w:b/>
          <w:bCs/>
          <w:i/>
          <w:iCs/>
        </w:rPr>
        <w:t>Groblja</w:t>
      </w:r>
    </w:p>
    <w:p w14:paraId="20C237AE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Na grobljima smo u prvih 9 mjeseci obavili 51 ukop što je 4 više nego u istom razdoblju lani., </w:t>
      </w:r>
    </w:p>
    <w:p w14:paraId="55DEC701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Do kraja godine će se započeti s reguliranjem statusa grobnih mjesta na grobljima Linardić-Milohnić, Poljica i Pinezić.</w:t>
      </w:r>
    </w:p>
    <w:p w14:paraId="5E85656D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Na web stranice ćemo postaviti tražilicu pokojnika i raspored ispraćaja pokojnika tako da će se jednostavno na jednom mjestu moći pretraživati pokojnici na krčkim grobljima.</w:t>
      </w:r>
    </w:p>
    <w:p w14:paraId="3E90EE4C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5912C26F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3FB9FA96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5CCF134C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  <w:b/>
          <w:bCs/>
          <w:i/>
          <w:iCs/>
        </w:rPr>
      </w:pPr>
      <w:r>
        <w:rPr>
          <w:rFonts w:ascii="Cambria" w:eastAsia="Calibri" w:hAnsi="Cambria" w:cs="Arial"/>
          <w:b/>
          <w:bCs/>
          <w:i/>
          <w:iCs/>
        </w:rPr>
        <w:t>Luke</w:t>
      </w:r>
    </w:p>
    <w:p w14:paraId="0F243D67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U svibnju je istekla koncesija za obavljanje djelatnosti priveza i odveza plovila na Lukobranu, te je sve sukladno ugovoru o koncesiji predano u posjed Županijskoj lučkoj upravi Krk.</w:t>
      </w:r>
    </w:p>
    <w:p w14:paraId="7C545661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U luci </w:t>
      </w:r>
      <w:proofErr w:type="spellStart"/>
      <w:r>
        <w:rPr>
          <w:rFonts w:ascii="Cambria" w:eastAsia="Calibri" w:hAnsi="Cambria" w:cs="Arial"/>
        </w:rPr>
        <w:t>Dunat</w:t>
      </w:r>
      <w:proofErr w:type="spellEnd"/>
      <w:r>
        <w:rPr>
          <w:rFonts w:ascii="Cambria" w:eastAsia="Calibri" w:hAnsi="Cambria" w:cs="Arial"/>
        </w:rPr>
        <w:t xml:space="preserve"> su svi kapaciteti bili popunjeni te se ostvario rast prihoda u odnosu na planirano s obzirom na usklađenje cijena s cjenikom Županijske lučke uprave Krk.</w:t>
      </w:r>
    </w:p>
    <w:p w14:paraId="4A82CFC2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Prihodi su zbog završetka koncesije manji u odnosu na prošlu godinu za 13 % zbog završetka koncesije na Lukobranu.</w:t>
      </w:r>
    </w:p>
    <w:p w14:paraId="17691D85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  <w:b/>
          <w:bCs/>
          <w:i/>
          <w:iCs/>
        </w:rPr>
      </w:pPr>
      <w:r>
        <w:rPr>
          <w:rFonts w:ascii="Cambria" w:eastAsia="Calibri" w:hAnsi="Cambria" w:cs="Arial"/>
          <w:b/>
          <w:bCs/>
          <w:i/>
          <w:iCs/>
        </w:rPr>
        <w:t>Parking</w:t>
      </w:r>
    </w:p>
    <w:p w14:paraId="369E3B34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U travnju s početkom naplate međusezone smo izmijenili zone pojedinih parkirališta iz razloga povećanja protočnosti vozila na parkiralištima te korigirali cijene s obzirom na inflaciju. </w:t>
      </w:r>
    </w:p>
    <w:p w14:paraId="6F520318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Na parkiralištima su nadograđena 3 parkirna aparata s kartičnom naplatom te je uvedena nova usluga VPA(Virtualni parkirni aparat) sve s ciljem pojednostavljivanja plaćanja usluge parkiranja.</w:t>
      </w:r>
    </w:p>
    <w:p w14:paraId="384D9B51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Na parkiralištima smo tijekom ljeta imali 5 kontrolora koji su svakodnevno kontrolirali naplatu parkiranja.</w:t>
      </w:r>
    </w:p>
    <w:p w14:paraId="144C45F9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Prihodi na parkingu u prvih 9 mjeseci su ostvareni u iznosu 18% većem od lani.</w:t>
      </w:r>
    </w:p>
    <w:p w14:paraId="4D25293D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  <w:b/>
          <w:bCs/>
          <w:i/>
          <w:iCs/>
        </w:rPr>
      </w:pPr>
      <w:r>
        <w:rPr>
          <w:rFonts w:ascii="Cambria" w:eastAsia="Calibri" w:hAnsi="Cambria" w:cs="Arial"/>
          <w:b/>
          <w:bCs/>
          <w:i/>
          <w:iCs/>
        </w:rPr>
        <w:t>Tržnice na malo</w:t>
      </w:r>
    </w:p>
    <w:p w14:paraId="25ABE373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Proveden je natječaj za zakup prostora na tržnici te se sklopilo ugovore sa 6 zakupnika koji su započeli s radom krajem srpnja. </w:t>
      </w:r>
    </w:p>
    <w:p w14:paraId="4E4187E5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S obzirom na početak sezone odlučilo se pričekati s novim natječajem za popunu ostalih prostora koji će se raspisati do kraja godine kako bi se sezonu 2025. dočekalo sa svim zakupljenim prostorima.</w:t>
      </w:r>
    </w:p>
    <w:p w14:paraId="43074338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Na tržnici TPC u rujnu je zakupnik u ribarnici raskinuo ugovor te će i taj prostor ići u natječaj za zakup.</w:t>
      </w:r>
    </w:p>
    <w:p w14:paraId="08AA8BD2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  <w:b/>
          <w:bCs/>
        </w:rPr>
      </w:pPr>
      <w:r>
        <w:rPr>
          <w:rFonts w:ascii="Cambria" w:eastAsia="Calibri" w:hAnsi="Cambria" w:cs="Arial"/>
          <w:b/>
          <w:bCs/>
        </w:rPr>
        <w:t>Financijsko ostvarenje</w:t>
      </w:r>
    </w:p>
    <w:p w14:paraId="11C2ADEA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U prvih devet mjeseci 2024. godine ostvareno je 19% više prihoda u odnosu na 2023. godinu, dok su rashodi rasli za 11%. </w:t>
      </w:r>
    </w:p>
    <w:p w14:paraId="7496AD71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Tabelarni prikaz ostvarenja prihoda i rashoda u prvih 9. mjeseci 2024. godine, sa usporedbom sa prethodnom godinom nalazi se u prilogu ovog izvješća.</w:t>
      </w:r>
    </w:p>
    <w:p w14:paraId="5388B42C" w14:textId="77777777" w:rsidR="006D07B3" w:rsidRDefault="006D07B3" w:rsidP="006D07B3">
      <w:pPr>
        <w:ind w:left="5246" w:firstLine="708"/>
        <w:rPr>
          <w:rFonts w:ascii="Cambria" w:hAnsi="Cambria"/>
          <w:kern w:val="2"/>
          <w14:ligatures w14:val="standardContextual"/>
        </w:rPr>
      </w:pPr>
    </w:p>
    <w:p w14:paraId="3E74DA05" w14:textId="77777777" w:rsidR="006D07B3" w:rsidRDefault="006D07B3" w:rsidP="006D07B3">
      <w:pPr>
        <w:ind w:left="5246" w:firstLine="708"/>
        <w:rPr>
          <w:rFonts w:ascii="Cambria" w:hAnsi="Cambria"/>
        </w:rPr>
      </w:pPr>
    </w:p>
    <w:p w14:paraId="23DCCA15" w14:textId="77777777" w:rsidR="006D07B3" w:rsidRDefault="006D07B3" w:rsidP="006D07B3">
      <w:pPr>
        <w:ind w:left="5246" w:firstLine="708"/>
        <w:rPr>
          <w:rFonts w:ascii="Cambria" w:hAnsi="Cambria"/>
        </w:rPr>
      </w:pPr>
      <w:r>
        <w:rPr>
          <w:rFonts w:ascii="Cambria" w:hAnsi="Cambria"/>
        </w:rPr>
        <w:t>Direktor</w:t>
      </w:r>
    </w:p>
    <w:p w14:paraId="6841606B" w14:textId="77777777" w:rsidR="006D07B3" w:rsidRDefault="006D07B3" w:rsidP="006D07B3">
      <w:pPr>
        <w:ind w:left="5954"/>
        <w:rPr>
          <w:rFonts w:ascii="Cambria" w:hAnsi="Cambria"/>
        </w:rPr>
      </w:pPr>
      <w:r>
        <w:rPr>
          <w:rFonts w:ascii="Cambria" w:hAnsi="Cambria"/>
        </w:rPr>
        <w:t>Danko Milohnić</w:t>
      </w:r>
    </w:p>
    <w:p w14:paraId="2F1CCC14" w14:textId="77777777" w:rsidR="006D07B3" w:rsidRDefault="006D07B3" w:rsidP="006D07B3">
      <w:pPr>
        <w:spacing w:after="0"/>
        <w:rPr>
          <w:rFonts w:ascii="Cambria" w:hAnsi="Cambria"/>
        </w:rPr>
      </w:pPr>
      <w:r>
        <w:rPr>
          <w:rFonts w:ascii="Cambria" w:hAnsi="Cambria"/>
        </w:rPr>
        <w:t>KLASA: 400-01/24-01/05</w:t>
      </w:r>
    </w:p>
    <w:p w14:paraId="7ECDE19F" w14:textId="77777777" w:rsidR="006D07B3" w:rsidRDefault="006D07B3" w:rsidP="006D07B3">
      <w:pPr>
        <w:spacing w:after="0"/>
        <w:rPr>
          <w:rFonts w:ascii="Cambria" w:hAnsi="Cambria"/>
        </w:rPr>
      </w:pPr>
      <w:r>
        <w:rPr>
          <w:rFonts w:ascii="Cambria" w:hAnsi="Cambria"/>
        </w:rPr>
        <w:t>URBROJ: 2142-19-02/1-24-1</w:t>
      </w:r>
    </w:p>
    <w:p w14:paraId="3B55801B" w14:textId="77777777" w:rsidR="006D07B3" w:rsidRDefault="006D07B3" w:rsidP="006D07B3">
      <w:pPr>
        <w:spacing w:after="0"/>
        <w:rPr>
          <w:rFonts w:ascii="Cambria" w:hAnsi="Cambria"/>
        </w:rPr>
      </w:pPr>
      <w:r>
        <w:rPr>
          <w:rFonts w:ascii="Cambria" w:hAnsi="Cambria"/>
        </w:rPr>
        <w:t>Krk, 11. prosinca 2024. godine</w:t>
      </w:r>
    </w:p>
    <w:p w14:paraId="5A2062A6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65524F4E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5B7DCCBB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77FF58BD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27756827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Tablica prihoda i rashoda od 1.1.-30.09.2024.g.</w:t>
      </w:r>
    </w:p>
    <w:p w14:paraId="5E295E95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741E5FBB" w14:textId="3779F161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Times New Roman"/>
          <w:noProof/>
        </w:rPr>
        <w:drawing>
          <wp:inline distT="0" distB="0" distL="0" distR="0" wp14:anchorId="4A5701FF" wp14:editId="44882ED8">
            <wp:extent cx="5941060" cy="2760980"/>
            <wp:effectExtent l="0" t="0" r="2540" b="1270"/>
            <wp:docPr id="101718497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B6E76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04D98381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p w14:paraId="2796AF27" w14:textId="66BB12EB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Times New Roman"/>
          <w:noProof/>
        </w:rPr>
        <w:drawing>
          <wp:inline distT="0" distB="0" distL="0" distR="0" wp14:anchorId="06F46862" wp14:editId="3657F0BB">
            <wp:extent cx="5941060" cy="3446780"/>
            <wp:effectExtent l="0" t="0" r="2540" b="1270"/>
            <wp:docPr id="9172223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A22FD" w14:textId="77777777" w:rsidR="006D07B3" w:rsidRDefault="006D07B3" w:rsidP="006D07B3">
      <w:pPr>
        <w:spacing w:line="256" w:lineRule="auto"/>
        <w:jc w:val="both"/>
        <w:rPr>
          <w:rFonts w:ascii="Cambria" w:eastAsia="Calibri" w:hAnsi="Cambria" w:cs="Arial"/>
        </w:rPr>
      </w:pPr>
    </w:p>
    <w:bookmarkEnd w:id="0"/>
    <w:p w14:paraId="17AD2A1D" w14:textId="77777777" w:rsidR="006D07B3" w:rsidRDefault="006D07B3" w:rsidP="006D07B3">
      <w:pPr>
        <w:rPr>
          <w:kern w:val="2"/>
          <w:sz w:val="24"/>
          <w:szCs w:val="24"/>
          <w14:ligatures w14:val="standardContextual"/>
        </w:rPr>
      </w:pPr>
    </w:p>
    <w:p w14:paraId="4CDAD561" w14:textId="77777777" w:rsidR="002C0911" w:rsidRPr="00951A7D" w:rsidRDefault="002C0911" w:rsidP="00951A7D">
      <w:pPr>
        <w:spacing w:after="0" w:line="276" w:lineRule="auto"/>
        <w:rPr>
          <w:rFonts w:cstheme="minorHAnsi"/>
        </w:rPr>
      </w:pPr>
    </w:p>
    <w:p w14:paraId="263F6616" w14:textId="10BC50FB" w:rsidR="006513AF" w:rsidRPr="00951A7D" w:rsidRDefault="006513AF" w:rsidP="00951A7D">
      <w:pPr>
        <w:spacing w:after="0" w:line="276" w:lineRule="auto"/>
        <w:rPr>
          <w:rFonts w:cstheme="minorHAnsi"/>
          <w:b/>
          <w:bCs/>
        </w:rPr>
      </w:pPr>
    </w:p>
    <w:p w14:paraId="541A9A8F" w14:textId="77777777" w:rsidR="00AB0FE6" w:rsidRPr="00951A7D" w:rsidRDefault="00AB0FE6" w:rsidP="0007763E">
      <w:pPr>
        <w:spacing w:after="0" w:line="276" w:lineRule="auto"/>
        <w:jc w:val="both"/>
        <w:rPr>
          <w:rFonts w:cstheme="minorHAnsi"/>
        </w:rPr>
        <w:sectPr w:rsidR="00AB0FE6" w:rsidRPr="00951A7D" w:rsidSect="00952CEB">
          <w:headerReference w:type="default" r:id="rId9"/>
          <w:headerReference w:type="first" r:id="rId10"/>
          <w:footerReference w:type="first" r:id="rId11"/>
          <w:pgSz w:w="11906" w:h="16838"/>
          <w:pgMar w:top="1418" w:right="1274" w:bottom="993" w:left="1276" w:header="142" w:footer="0" w:gutter="0"/>
          <w:cols w:space="708"/>
          <w:titlePg/>
          <w:docGrid w:linePitch="360"/>
        </w:sectPr>
      </w:pPr>
    </w:p>
    <w:p w14:paraId="53F829E8" w14:textId="72E4ACCE" w:rsidR="00116E16" w:rsidRPr="00951A7D" w:rsidRDefault="00116E16" w:rsidP="0007763E">
      <w:pPr>
        <w:spacing w:after="0" w:line="276" w:lineRule="auto"/>
        <w:jc w:val="both"/>
        <w:rPr>
          <w:rFonts w:cstheme="minorHAnsi"/>
        </w:rPr>
      </w:pPr>
    </w:p>
    <w:sectPr w:rsidR="00116E16" w:rsidRPr="00951A7D" w:rsidSect="00AB0FE6">
      <w:headerReference w:type="default" r:id="rId12"/>
      <w:footerReference w:type="default" r:id="rId13"/>
      <w:type w:val="continuous"/>
      <w:pgSz w:w="11906" w:h="16838"/>
      <w:pgMar w:top="1418" w:right="1274" w:bottom="1440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06CAD" w14:textId="77777777" w:rsidR="00E7058D" w:rsidRDefault="00E7058D" w:rsidP="00116E16">
      <w:pPr>
        <w:spacing w:after="0" w:line="240" w:lineRule="auto"/>
      </w:pPr>
      <w:r>
        <w:separator/>
      </w:r>
    </w:p>
  </w:endnote>
  <w:endnote w:type="continuationSeparator" w:id="0">
    <w:p w14:paraId="2EACF91E" w14:textId="77777777" w:rsidR="00E7058D" w:rsidRDefault="00E7058D" w:rsidP="0011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D8A9B" w14:textId="77777777" w:rsidR="00952CEB" w:rsidRPr="005A75E0" w:rsidRDefault="00952CEB" w:rsidP="00952CEB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VECLA d.o.o. ZA OBAVLJANJE KOMUNALNIH I LUČKIH DJELATNOSTI,  KRK,  LUKOBRAN 5,  E-MAIL: VECLA@VECLA.HR</w:t>
    </w:r>
  </w:p>
  <w:p w14:paraId="583B4834" w14:textId="77777777" w:rsidR="00952CEB" w:rsidRDefault="00952CEB" w:rsidP="00952CEB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OIB:33825903375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/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(ERSTE)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HR2124020061100071994</w:t>
    </w:r>
    <w:r w:rsidRPr="00404C7A"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/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(ZABA)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9723600001102641953</w:t>
    </w:r>
  </w:p>
  <w:p w14:paraId="754DE24E" w14:textId="77777777" w:rsidR="00952CEB" w:rsidRPr="00E96264" w:rsidRDefault="00952CEB" w:rsidP="00952CEB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TEL: +385 51 401 181,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FAX:  +385 51 401 191</w:t>
    </w:r>
  </w:p>
  <w:p w14:paraId="49E71037" w14:textId="47EFCE5C" w:rsidR="00952CEB" w:rsidRPr="00952CEB" w:rsidRDefault="006D07B3" w:rsidP="00952CEB">
    <w:pPr>
      <w:pStyle w:val="Podnoje"/>
    </w:pPr>
    <w:r>
      <w:rPr>
        <w:rFonts w:ascii="Maiandra GD" w:hAnsi="Maiandra GD"/>
        <w:noProof/>
        <w:color w:val="0097CC"/>
        <w:sz w:val="16"/>
        <w:szCs w:val="16"/>
        <w:lang w:eastAsia="hr-HR"/>
      </w:rPr>
      <w:pict w14:anchorId="5E0DC64E">
        <v:rect id="_x0000_i1025" style="width:386.2pt;height:11.5pt;mso-position-vertical:absolute" o:hrpct="973" o:hralign="center" o:hrstd="t" o:hrnoshade="t" o:hr="t" fillcolor="#00b0f0" stroked="f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A7926" w14:textId="77777777" w:rsidR="00AB0FE6" w:rsidRDefault="00AB0F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1F6DE" w14:textId="77777777" w:rsidR="00E7058D" w:rsidRDefault="00E7058D" w:rsidP="00116E16">
      <w:pPr>
        <w:spacing w:after="0" w:line="240" w:lineRule="auto"/>
      </w:pPr>
      <w:r>
        <w:separator/>
      </w:r>
    </w:p>
  </w:footnote>
  <w:footnote w:type="continuationSeparator" w:id="0">
    <w:p w14:paraId="2C226F88" w14:textId="77777777" w:rsidR="00E7058D" w:rsidRDefault="00E7058D" w:rsidP="0011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746A2" w14:textId="127C62ED" w:rsidR="00116E16" w:rsidRDefault="00116E16" w:rsidP="00116E16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E189E" w14:textId="3B3FEBE1" w:rsidR="003D55EB" w:rsidRDefault="003D55EB" w:rsidP="003D55EB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1E48F8AC" wp14:editId="7078A178">
          <wp:extent cx="1237615" cy="1146175"/>
          <wp:effectExtent l="0" t="0" r="635" b="0"/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76C4C" w14:textId="003D3FFA" w:rsidR="00AB0FE6" w:rsidRDefault="00AB0FE6" w:rsidP="00116E1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2F11D7"/>
    <w:multiLevelType w:val="hybridMultilevel"/>
    <w:tmpl w:val="A8FAF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38BA"/>
    <w:multiLevelType w:val="hybridMultilevel"/>
    <w:tmpl w:val="BA6C3AC8"/>
    <w:lvl w:ilvl="0" w:tplc="EF6816A2">
      <w:numFmt w:val="bullet"/>
      <w:lvlText w:val="-"/>
      <w:lvlJc w:val="left"/>
      <w:pPr>
        <w:ind w:left="177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6AF2146"/>
    <w:multiLevelType w:val="hybridMultilevel"/>
    <w:tmpl w:val="5F8E4AFE"/>
    <w:lvl w:ilvl="0" w:tplc="EB52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C298A"/>
    <w:multiLevelType w:val="hybridMultilevel"/>
    <w:tmpl w:val="AE604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15A23"/>
    <w:multiLevelType w:val="hybridMultilevel"/>
    <w:tmpl w:val="93941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3B7A"/>
    <w:multiLevelType w:val="hybridMultilevel"/>
    <w:tmpl w:val="183C3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F3A8B"/>
    <w:multiLevelType w:val="hybridMultilevel"/>
    <w:tmpl w:val="71460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C6D85"/>
    <w:multiLevelType w:val="hybridMultilevel"/>
    <w:tmpl w:val="8354B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A59AC"/>
    <w:multiLevelType w:val="hybridMultilevel"/>
    <w:tmpl w:val="73947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B054B"/>
    <w:multiLevelType w:val="hybridMultilevel"/>
    <w:tmpl w:val="07F6E81A"/>
    <w:lvl w:ilvl="0" w:tplc="8DA0D09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5B34743"/>
    <w:multiLevelType w:val="hybridMultilevel"/>
    <w:tmpl w:val="11C2A8CC"/>
    <w:lvl w:ilvl="0" w:tplc="46DE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pStyle w:val="Naslov4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020FB"/>
    <w:multiLevelType w:val="hybridMultilevel"/>
    <w:tmpl w:val="9FAAE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204F4"/>
    <w:multiLevelType w:val="hybridMultilevel"/>
    <w:tmpl w:val="BA18A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69634">
    <w:abstractNumId w:val="11"/>
  </w:num>
  <w:num w:numId="2" w16cid:durableId="173998401">
    <w:abstractNumId w:val="4"/>
  </w:num>
  <w:num w:numId="3" w16cid:durableId="610014244">
    <w:abstractNumId w:val="7"/>
  </w:num>
  <w:num w:numId="4" w16cid:durableId="1609892943">
    <w:abstractNumId w:val="6"/>
  </w:num>
  <w:num w:numId="5" w16cid:durableId="1990863434">
    <w:abstractNumId w:val="13"/>
  </w:num>
  <w:num w:numId="6" w16cid:durableId="370768451">
    <w:abstractNumId w:val="5"/>
  </w:num>
  <w:num w:numId="7" w16cid:durableId="173768410">
    <w:abstractNumId w:val="0"/>
  </w:num>
  <w:num w:numId="8" w16cid:durableId="1262763356">
    <w:abstractNumId w:val="3"/>
  </w:num>
  <w:num w:numId="9" w16cid:durableId="94332132">
    <w:abstractNumId w:val="1"/>
  </w:num>
  <w:num w:numId="10" w16cid:durableId="1918905991">
    <w:abstractNumId w:val="2"/>
  </w:num>
  <w:num w:numId="11" w16cid:durableId="624433749">
    <w:abstractNumId w:val="12"/>
  </w:num>
  <w:num w:numId="12" w16cid:durableId="980689596">
    <w:abstractNumId w:val="9"/>
  </w:num>
  <w:num w:numId="13" w16cid:durableId="426191636">
    <w:abstractNumId w:val="10"/>
  </w:num>
  <w:num w:numId="14" w16cid:durableId="1615552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40"/>
    <w:rsid w:val="000032CE"/>
    <w:rsid w:val="0001214F"/>
    <w:rsid w:val="00023A9C"/>
    <w:rsid w:val="000376C6"/>
    <w:rsid w:val="0005192A"/>
    <w:rsid w:val="00057C65"/>
    <w:rsid w:val="0007763E"/>
    <w:rsid w:val="00092C71"/>
    <w:rsid w:val="00093409"/>
    <w:rsid w:val="000A099D"/>
    <w:rsid w:val="000C208E"/>
    <w:rsid w:val="000D3B0C"/>
    <w:rsid w:val="000F6E0D"/>
    <w:rsid w:val="00102567"/>
    <w:rsid w:val="0011012E"/>
    <w:rsid w:val="00116E16"/>
    <w:rsid w:val="00131CAF"/>
    <w:rsid w:val="00161855"/>
    <w:rsid w:val="00183A33"/>
    <w:rsid w:val="001C3D57"/>
    <w:rsid w:val="0020313F"/>
    <w:rsid w:val="00246A3B"/>
    <w:rsid w:val="0027284C"/>
    <w:rsid w:val="002A4146"/>
    <w:rsid w:val="002C0911"/>
    <w:rsid w:val="002D142A"/>
    <w:rsid w:val="00302DB0"/>
    <w:rsid w:val="0033445E"/>
    <w:rsid w:val="00337370"/>
    <w:rsid w:val="003628D7"/>
    <w:rsid w:val="00372566"/>
    <w:rsid w:val="00373F03"/>
    <w:rsid w:val="00396E3B"/>
    <w:rsid w:val="003A4AC1"/>
    <w:rsid w:val="003B09DD"/>
    <w:rsid w:val="003C0AE0"/>
    <w:rsid w:val="003C2235"/>
    <w:rsid w:val="003C7229"/>
    <w:rsid w:val="003D55EB"/>
    <w:rsid w:val="003F414E"/>
    <w:rsid w:val="00412DE0"/>
    <w:rsid w:val="004177E8"/>
    <w:rsid w:val="00442CE8"/>
    <w:rsid w:val="00454B4D"/>
    <w:rsid w:val="00457CD7"/>
    <w:rsid w:val="00496830"/>
    <w:rsid w:val="004C20DA"/>
    <w:rsid w:val="004C77B8"/>
    <w:rsid w:val="004C7AFA"/>
    <w:rsid w:val="005A2EE6"/>
    <w:rsid w:val="005B2701"/>
    <w:rsid w:val="006513AF"/>
    <w:rsid w:val="00660033"/>
    <w:rsid w:val="00667E78"/>
    <w:rsid w:val="0068172B"/>
    <w:rsid w:val="006B17D2"/>
    <w:rsid w:val="006B504A"/>
    <w:rsid w:val="006D07B3"/>
    <w:rsid w:val="006D3CF5"/>
    <w:rsid w:val="007321FA"/>
    <w:rsid w:val="00757AB0"/>
    <w:rsid w:val="00761017"/>
    <w:rsid w:val="007A5C26"/>
    <w:rsid w:val="007B125C"/>
    <w:rsid w:val="007D05FF"/>
    <w:rsid w:val="007D169E"/>
    <w:rsid w:val="007F3CFB"/>
    <w:rsid w:val="00823AC4"/>
    <w:rsid w:val="0089562E"/>
    <w:rsid w:val="008B2420"/>
    <w:rsid w:val="008D0313"/>
    <w:rsid w:val="0091214A"/>
    <w:rsid w:val="00920985"/>
    <w:rsid w:val="00951A7D"/>
    <w:rsid w:val="00952CEB"/>
    <w:rsid w:val="00956CCA"/>
    <w:rsid w:val="00967E6B"/>
    <w:rsid w:val="00970426"/>
    <w:rsid w:val="0097615C"/>
    <w:rsid w:val="009B1D63"/>
    <w:rsid w:val="009D6E18"/>
    <w:rsid w:val="009F0B13"/>
    <w:rsid w:val="00A03B18"/>
    <w:rsid w:val="00A26B3F"/>
    <w:rsid w:val="00A310CE"/>
    <w:rsid w:val="00A65C98"/>
    <w:rsid w:val="00A74B85"/>
    <w:rsid w:val="00A84C89"/>
    <w:rsid w:val="00A85915"/>
    <w:rsid w:val="00AB0FE6"/>
    <w:rsid w:val="00AE0E88"/>
    <w:rsid w:val="00AE43A5"/>
    <w:rsid w:val="00B07CF9"/>
    <w:rsid w:val="00B20178"/>
    <w:rsid w:val="00B2785D"/>
    <w:rsid w:val="00B420B9"/>
    <w:rsid w:val="00B56A08"/>
    <w:rsid w:val="00B6508D"/>
    <w:rsid w:val="00B743AA"/>
    <w:rsid w:val="00B7496D"/>
    <w:rsid w:val="00B84414"/>
    <w:rsid w:val="00B96413"/>
    <w:rsid w:val="00BA7506"/>
    <w:rsid w:val="00BD3440"/>
    <w:rsid w:val="00C66991"/>
    <w:rsid w:val="00C9624C"/>
    <w:rsid w:val="00CD3942"/>
    <w:rsid w:val="00CF2DBD"/>
    <w:rsid w:val="00CF64C9"/>
    <w:rsid w:val="00CF684C"/>
    <w:rsid w:val="00D02FE7"/>
    <w:rsid w:val="00D322FE"/>
    <w:rsid w:val="00D53C8B"/>
    <w:rsid w:val="00D554CB"/>
    <w:rsid w:val="00D9021B"/>
    <w:rsid w:val="00DA0E03"/>
    <w:rsid w:val="00DA170F"/>
    <w:rsid w:val="00DC6AF2"/>
    <w:rsid w:val="00DD41D8"/>
    <w:rsid w:val="00DE7616"/>
    <w:rsid w:val="00E21A54"/>
    <w:rsid w:val="00E2417C"/>
    <w:rsid w:val="00E40C88"/>
    <w:rsid w:val="00E7058D"/>
    <w:rsid w:val="00EA0DB8"/>
    <w:rsid w:val="00EA151F"/>
    <w:rsid w:val="00EA2C8C"/>
    <w:rsid w:val="00EA5130"/>
    <w:rsid w:val="00EC5E2F"/>
    <w:rsid w:val="00ED2C45"/>
    <w:rsid w:val="00ED78A1"/>
    <w:rsid w:val="00F22AA4"/>
    <w:rsid w:val="00F5231C"/>
    <w:rsid w:val="00F74888"/>
    <w:rsid w:val="00F761F2"/>
    <w:rsid w:val="00FA2886"/>
    <w:rsid w:val="00FA75CF"/>
    <w:rsid w:val="00FB5F15"/>
    <w:rsid w:val="00FC0C02"/>
    <w:rsid w:val="00FD056F"/>
    <w:rsid w:val="00FD3CAA"/>
    <w:rsid w:val="00F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9754"/>
  <w15:chartTrackingRefBased/>
  <w15:docId w15:val="{20B1EC23-9500-4074-A76C-E014595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77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2C091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 Narrow" w:eastAsia="Times New Roman" w:hAnsi="Arial Narrow" w:cs="Arial Narrow"/>
      <w:b/>
      <w:i/>
      <w:iCs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6E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6E16"/>
  </w:style>
  <w:style w:type="paragraph" w:styleId="Podnoje">
    <w:name w:val="footer"/>
    <w:basedOn w:val="Normal"/>
    <w:link w:val="Podnoje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6E16"/>
  </w:style>
  <w:style w:type="character" w:customStyle="1" w:styleId="Naslov4Char">
    <w:name w:val="Naslov 4 Char"/>
    <w:basedOn w:val="Zadanifontodlomka"/>
    <w:link w:val="Naslov4"/>
    <w:rsid w:val="002C0911"/>
    <w:rPr>
      <w:rFonts w:ascii="Arial Narrow" w:eastAsia="Times New Roman" w:hAnsi="Arial Narrow" w:cs="Arial Narrow"/>
      <w:b/>
      <w:i/>
      <w:iCs/>
      <w:szCs w:val="24"/>
      <w:lang w:eastAsia="ar-SA"/>
    </w:rPr>
  </w:style>
  <w:style w:type="paragraph" w:styleId="Tijeloteksta">
    <w:name w:val="Body Text"/>
    <w:basedOn w:val="Normal"/>
    <w:link w:val="TijelotekstaChar"/>
    <w:rsid w:val="002C091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i/>
      <w:iCs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2C0911"/>
    <w:rPr>
      <w:rFonts w:ascii="Arial Narrow" w:eastAsia="Times New Roman" w:hAnsi="Arial Narrow" w:cs="Arial Narrow"/>
      <w:i/>
      <w:iCs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77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Reetkatablice">
    <w:name w:val="Table Grid"/>
    <w:basedOn w:val="Obinatablica"/>
    <w:uiPriority w:val="39"/>
    <w:rsid w:val="00CD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CD39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rsid w:val="007D05FF"/>
    <w:rPr>
      <w:color w:val="0563C1"/>
      <w:u w:val="single"/>
    </w:rPr>
  </w:style>
  <w:style w:type="paragraph" w:customStyle="1" w:styleId="Obiantekst1">
    <w:name w:val="Običan tekst1"/>
    <w:basedOn w:val="Normal"/>
    <w:link w:val="ObiantekstChar"/>
    <w:rsid w:val="00E21A54"/>
    <w:pPr>
      <w:keepNext/>
      <w:autoSpaceDE w:val="0"/>
      <w:autoSpaceDN w:val="0"/>
      <w:adjustRightInd w:val="0"/>
      <w:spacing w:before="120" w:after="0" w:line="300" w:lineRule="exact"/>
      <w:jc w:val="both"/>
    </w:pPr>
    <w:rPr>
      <w:rFonts w:ascii="Calibri" w:eastAsia="Times New Roman" w:hAnsi="Calibri" w:cs="Arial"/>
      <w:szCs w:val="24"/>
      <w:lang w:eastAsia="hr-HR"/>
    </w:rPr>
  </w:style>
  <w:style w:type="character" w:customStyle="1" w:styleId="ObiantekstChar">
    <w:name w:val="Običan tekst Char"/>
    <w:basedOn w:val="Zadanifontodlomka"/>
    <w:link w:val="Obiantekst1"/>
    <w:rsid w:val="00E21A54"/>
    <w:rPr>
      <w:rFonts w:ascii="Calibri" w:eastAsia="Times New Roman" w:hAnsi="Calibri" w:cs="Arial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Lušić</dc:creator>
  <cp:keywords/>
  <dc:description/>
  <cp:lastModifiedBy>Karla Jurešić</cp:lastModifiedBy>
  <cp:revision>47</cp:revision>
  <cp:lastPrinted>2024-09-09T07:40:00Z</cp:lastPrinted>
  <dcterms:created xsi:type="dcterms:W3CDTF">2023-02-28T13:50:00Z</dcterms:created>
  <dcterms:modified xsi:type="dcterms:W3CDTF">2024-12-10T12:10:00Z</dcterms:modified>
</cp:coreProperties>
</file>